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6A" w:rsidRDefault="00B40F6A">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Times New Roman" w:eastAsia="Times New Roman" w:hAnsi="Times New Roman" w:cs="Times New Roman"/>
          <w:b/>
          <w:color w:val="0D0D0D"/>
          <w:sz w:val="24"/>
          <w:szCs w:val="24"/>
        </w:rPr>
      </w:pPr>
      <w:bookmarkStart w:id="0" w:name="_GoBack"/>
      <w:bookmarkEnd w:id="0"/>
    </w:p>
    <w:p w:rsidR="00B40F6A" w:rsidRDefault="00AA3495">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3255"/>
        </w:tabs>
        <w:spacing w:after="300"/>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ab/>
      </w:r>
    </w:p>
    <w:p w:rsidR="00B40F6A" w:rsidRDefault="00AA3495">
      <w:pPr>
        <w:pBdr>
          <w:top w:val="nil"/>
          <w:left w:val="nil"/>
          <w:bottom w:val="nil"/>
          <w:right w:val="nil"/>
          <w:between w:val="nil"/>
        </w:pBdr>
        <w:shd w:val="clear" w:color="auto" w:fill="FFFFFF"/>
        <w:spacing w:before="240"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2</w:t>
      </w:r>
      <w:r>
        <w:rPr>
          <w:rFonts w:ascii="Times New Roman" w:eastAsia="Times New Roman" w:hAnsi="Times New Roman" w:cs="Times New Roman"/>
          <w:b/>
          <w:color w:val="0D0D0D"/>
          <w:sz w:val="24"/>
          <w:szCs w:val="24"/>
          <w:vertAlign w:val="superscript"/>
        </w:rPr>
        <w:t>nd</w:t>
      </w:r>
      <w:r>
        <w:rPr>
          <w:rFonts w:ascii="Times New Roman" w:eastAsia="Times New Roman" w:hAnsi="Times New Roman" w:cs="Times New Roman"/>
          <w:b/>
          <w:color w:val="0D0D0D"/>
          <w:sz w:val="24"/>
          <w:szCs w:val="24"/>
        </w:rPr>
        <w:t xml:space="preserve"> Call for Project Proposals: Promotion of Media and Information Literacy</w:t>
      </w:r>
    </w:p>
    <w:p w:rsidR="00B40F6A" w:rsidRDefault="00B40F6A">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p>
    <w:p w:rsidR="00B40F6A" w:rsidRDefault="00AA3495">
      <w:pPr>
        <w:pBdr>
          <w:top w:val="nil"/>
          <w:left w:val="nil"/>
          <w:bottom w:val="nil"/>
          <w:right w:val="nil"/>
          <w:between w:val="nil"/>
        </w:pBdr>
        <w:shd w:val="clear" w:color="auto" w:fill="FFFFFF"/>
        <w:spacing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Introduction</w:t>
      </w: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This call for proposals is part of the regional project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Network – Fighting Disinformation and Misinformation through a Network of Fact-checkers”, which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network is conducting in partnership with “</w:t>
      </w:r>
      <w:proofErr w:type="spellStart"/>
      <w:r>
        <w:rPr>
          <w:rFonts w:ascii="Times New Roman" w:eastAsia="Times New Roman" w:hAnsi="Times New Roman" w:cs="Times New Roman"/>
          <w:color w:val="0D0D0D"/>
          <w:sz w:val="24"/>
          <w:szCs w:val="24"/>
        </w:rPr>
        <w:t>Faktoje</w:t>
      </w:r>
      <w:proofErr w:type="spellEnd"/>
      <w:r>
        <w:rPr>
          <w:rFonts w:ascii="Times New Roman" w:eastAsia="Times New Roman" w:hAnsi="Times New Roman" w:cs="Times New Roman"/>
          <w:color w:val="0D0D0D"/>
          <w:sz w:val="24"/>
          <w:szCs w:val="24"/>
        </w:rPr>
        <w:t xml:space="preserve">” from Albania and “Open Data Kosovo”, with the support of the European Commission. </w:t>
      </w: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 project includes the disbursement of short-term grants aimed at strengthening the capacities of civil society organizations (CSO) and media outlets to counter disinformation in their respective public spaces.</w:t>
      </w: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SEE Check is a network of six fact-checking organizations from five countries in South-Eastern Europe that work on promoting media accountability, improving media literacy, and fighting misinformation and disinformation. </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The fact-checking web portals within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Network include Raskrinkavanje.ba (BiH), </w:t>
      </w:r>
      <w:proofErr w:type="spellStart"/>
      <w:r>
        <w:rPr>
          <w:rFonts w:ascii="Times New Roman" w:eastAsia="Times New Roman" w:hAnsi="Times New Roman" w:cs="Times New Roman"/>
          <w:color w:val="0D0D0D"/>
          <w:sz w:val="24"/>
          <w:szCs w:val="24"/>
        </w:rPr>
        <w:t>Raskrinkavanje.me</w:t>
      </w:r>
      <w:proofErr w:type="spellEnd"/>
      <w:r>
        <w:rPr>
          <w:rFonts w:ascii="Times New Roman" w:eastAsia="Times New Roman" w:hAnsi="Times New Roman" w:cs="Times New Roman"/>
          <w:color w:val="0D0D0D"/>
          <w:sz w:val="24"/>
          <w:szCs w:val="24"/>
        </w:rPr>
        <w:t xml:space="preserve"> (Montenegro), </w:t>
      </w:r>
      <w:proofErr w:type="spellStart"/>
      <w:r>
        <w:rPr>
          <w:rFonts w:ascii="Times New Roman" w:eastAsia="Times New Roman" w:hAnsi="Times New Roman" w:cs="Times New Roman"/>
          <w:color w:val="0D0D0D"/>
          <w:sz w:val="24"/>
          <w:szCs w:val="24"/>
        </w:rPr>
        <w:t>Raskrikavanje.rs</w:t>
      </w:r>
      <w:proofErr w:type="spellEnd"/>
      <w:r>
        <w:rPr>
          <w:rFonts w:ascii="Times New Roman" w:eastAsia="Times New Roman" w:hAnsi="Times New Roman" w:cs="Times New Roman"/>
          <w:color w:val="0D0D0D"/>
          <w:sz w:val="24"/>
          <w:szCs w:val="24"/>
        </w:rPr>
        <w:t xml:space="preserve"> (Serbia), Razkrinkavanje.si (Slovenia), Faktograf.hr (Croatia), and Fakenews.rs (Serbia).</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2024, the </w:t>
      </w:r>
      <w:r>
        <w:rPr>
          <w:rFonts w:ascii="Times New Roman" w:eastAsia="Times New Roman" w:hAnsi="Times New Roman" w:cs="Times New Roman"/>
          <w:b/>
          <w:color w:val="000000"/>
          <w:sz w:val="24"/>
          <w:szCs w:val="24"/>
        </w:rPr>
        <w:t>SEE Check Network</w:t>
      </w:r>
      <w:r>
        <w:rPr>
          <w:rFonts w:ascii="Times New Roman" w:eastAsia="Times New Roman" w:hAnsi="Times New Roman" w:cs="Times New Roman"/>
          <w:color w:val="000000"/>
          <w:sz w:val="24"/>
          <w:szCs w:val="24"/>
        </w:rPr>
        <w:t xml:space="preserve">, as part of the project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SEECheck</w:t>
      </w:r>
      <w:proofErr w:type="spellEnd"/>
      <w:r>
        <w:rPr>
          <w:rFonts w:ascii="Times New Roman" w:eastAsia="Times New Roman" w:hAnsi="Times New Roman" w:cs="Times New Roman"/>
          <w:i/>
          <w:color w:val="000000"/>
          <w:sz w:val="24"/>
          <w:szCs w:val="24"/>
        </w:rPr>
        <w:t xml:space="preserve"> Network – Fighting Disinformation and Misinformation through a Network of Fact-checkers"</w:t>
      </w:r>
      <w:r>
        <w:rPr>
          <w:rFonts w:ascii="Times New Roman" w:eastAsia="Times New Roman" w:hAnsi="Times New Roman" w:cs="Times New Roman"/>
          <w:color w:val="000000"/>
          <w:sz w:val="24"/>
          <w:szCs w:val="24"/>
        </w:rPr>
        <w:t xml:space="preserve"> implemented with the support of the </w:t>
      </w:r>
      <w:r>
        <w:rPr>
          <w:rFonts w:ascii="Times New Roman" w:eastAsia="Times New Roman" w:hAnsi="Times New Roman" w:cs="Times New Roman"/>
          <w:b/>
          <w:color w:val="000000"/>
          <w:sz w:val="24"/>
          <w:szCs w:val="24"/>
        </w:rPr>
        <w:t>European Commission</w:t>
      </w:r>
      <w:r>
        <w:rPr>
          <w:rFonts w:ascii="Times New Roman" w:eastAsia="Times New Roman" w:hAnsi="Times New Roman" w:cs="Times New Roman"/>
          <w:color w:val="000000"/>
          <w:sz w:val="24"/>
          <w:szCs w:val="24"/>
        </w:rPr>
        <w:t xml:space="preserve">, awarded </w:t>
      </w:r>
      <w:r>
        <w:rPr>
          <w:rFonts w:ascii="Times New Roman" w:eastAsia="Times New Roman" w:hAnsi="Times New Roman" w:cs="Times New Roman"/>
          <w:b/>
          <w:color w:val="000000"/>
          <w:sz w:val="24"/>
          <w:szCs w:val="24"/>
        </w:rPr>
        <w:t>10 grants</w:t>
      </w:r>
      <w:r>
        <w:rPr>
          <w:rFonts w:ascii="Times New Roman" w:eastAsia="Times New Roman" w:hAnsi="Times New Roman" w:cs="Times New Roman"/>
          <w:color w:val="000000"/>
          <w:sz w:val="24"/>
          <w:szCs w:val="24"/>
        </w:rPr>
        <w:t xml:space="preserve"> in the </w:t>
      </w:r>
      <w:r>
        <w:rPr>
          <w:rFonts w:ascii="Times New Roman" w:eastAsia="Times New Roman" w:hAnsi="Times New Roman" w:cs="Times New Roman"/>
          <w:b/>
          <w:color w:val="000000"/>
          <w:sz w:val="24"/>
          <w:szCs w:val="24"/>
        </w:rPr>
        <w:t>first round of the Call for Proposals</w:t>
      </w:r>
      <w:r>
        <w:rPr>
          <w:rFonts w:ascii="Times New Roman" w:eastAsia="Times New Roman" w:hAnsi="Times New Roman" w:cs="Times New Roman"/>
          <w:color w:val="000000"/>
          <w:sz w:val="24"/>
          <w:szCs w:val="24"/>
        </w:rPr>
        <w:t xml:space="preserve">. </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 xml:space="preserve">The network is now launching the process to award </w:t>
      </w:r>
      <w:r>
        <w:rPr>
          <w:rFonts w:ascii="Times New Roman" w:eastAsia="Times New Roman" w:hAnsi="Times New Roman" w:cs="Times New Roman"/>
          <w:b/>
          <w:color w:val="000000"/>
          <w:sz w:val="24"/>
          <w:szCs w:val="24"/>
        </w:rPr>
        <w:t>10 additional grants</w:t>
      </w:r>
      <w:r>
        <w:rPr>
          <w:rFonts w:ascii="Times New Roman" w:eastAsia="Times New Roman" w:hAnsi="Times New Roman" w:cs="Times New Roman"/>
          <w:color w:val="000000"/>
          <w:sz w:val="24"/>
          <w:szCs w:val="24"/>
        </w:rPr>
        <w:t xml:space="preserve"> in the </w:t>
      </w:r>
      <w:r>
        <w:rPr>
          <w:rFonts w:ascii="Times New Roman" w:eastAsia="Times New Roman" w:hAnsi="Times New Roman" w:cs="Times New Roman"/>
          <w:b/>
          <w:color w:val="000000"/>
          <w:sz w:val="24"/>
          <w:szCs w:val="24"/>
        </w:rPr>
        <w:t>second round</w:t>
      </w:r>
      <w:r>
        <w:rPr>
          <w:rFonts w:ascii="Times New Roman" w:eastAsia="Times New Roman" w:hAnsi="Times New Roman" w:cs="Times New Roman"/>
          <w:color w:val="000000"/>
          <w:sz w:val="24"/>
          <w:szCs w:val="24"/>
        </w:rPr>
        <w:t xml:space="preserve">, bringing the total to </w:t>
      </w:r>
      <w:r>
        <w:rPr>
          <w:rFonts w:ascii="Times New Roman" w:eastAsia="Times New Roman" w:hAnsi="Times New Roman" w:cs="Times New Roman"/>
          <w:b/>
          <w:color w:val="000000"/>
          <w:sz w:val="24"/>
          <w:szCs w:val="24"/>
        </w:rPr>
        <w:t>20 grants</w:t>
      </w:r>
      <w:r>
        <w:rPr>
          <w:rFonts w:ascii="Times New Roman" w:eastAsia="Times New Roman" w:hAnsi="Times New Roman" w:cs="Times New Roman"/>
          <w:color w:val="000000"/>
          <w:sz w:val="24"/>
          <w:szCs w:val="24"/>
        </w:rPr>
        <w:t xml:space="preserve"> for organizations and local media. These grants aim to </w:t>
      </w:r>
      <w:r>
        <w:rPr>
          <w:rFonts w:ascii="Times New Roman" w:eastAsia="Times New Roman" w:hAnsi="Times New Roman" w:cs="Times New Roman"/>
          <w:b/>
          <w:color w:val="000000"/>
          <w:sz w:val="24"/>
          <w:szCs w:val="24"/>
        </w:rPr>
        <w:t>enhance media literacy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support credible reporting</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counter disinformation</w:t>
      </w:r>
      <w:r>
        <w:rPr>
          <w:rFonts w:ascii="Times New Roman" w:eastAsia="Times New Roman" w:hAnsi="Times New Roman" w:cs="Times New Roman"/>
          <w:color w:val="000000"/>
          <w:sz w:val="24"/>
          <w:szCs w:val="24"/>
        </w:rPr>
        <w:t xml:space="preserve"> across the region.</w:t>
      </w:r>
    </w:p>
    <w:p w:rsidR="00B40F6A" w:rsidRDefault="00B40F6A">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Background</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Addressing disinformation and effectively engaging audiences pose significant challenges for fact-checkers. The recent surge in disinformation, particularly during global events such as the COVID-19 pandemic and the aggression against Ukraine, has contributed to heightened negative attitudes toward fact-checking, driven by aggressive groups like conspiracy theorists and their followers.</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The primary objective of this sub-granting program is to enhance the capacities of local media and civil society organizations (CSOs) in the SEE region to combat information disorder, improve the integrity of local media, and bolster community resilience to disinformation, with a focus on initiatives that target local audiences.</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lastRenderedPageBreak/>
        <w:t>The SEE Check Network will distribute 10 grants across the region to help organizations and local media outlets raise media literacy among their audiences, produce more credible reporting, and counter-narratives to disinformation.</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 </w:t>
      </w:r>
      <w:r>
        <w:rPr>
          <w:rFonts w:ascii="Times New Roman" w:eastAsia="Times New Roman" w:hAnsi="Times New Roman" w:cs="Times New Roman"/>
          <w:b/>
          <w:color w:val="0D0D0D"/>
          <w:sz w:val="24"/>
          <w:szCs w:val="24"/>
        </w:rPr>
        <w:t>Grants</w:t>
      </w:r>
    </w:p>
    <w:p w:rsidR="00B40F6A" w:rsidRPr="00050520" w:rsidRDefault="00AA3495" w:rsidP="00050520">
      <w:pPr>
        <w:pBdr>
          <w:top w:val="nil"/>
          <w:left w:val="nil"/>
          <w:bottom w:val="nil"/>
          <w:right w:val="nil"/>
          <w:between w:val="nil"/>
        </w:pBdr>
        <w:spacing w:before="240" w:after="240" w:line="240" w:lineRule="auto"/>
        <w:jc w:val="both"/>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 xml:space="preserve">The SEE Check Network is offering short-term grants for projects lasting between three (3) and six (6) months. Grant amounts vary from €5.000 to €12.000. </w:t>
      </w:r>
    </w:p>
    <w:p w:rsidR="00B40F6A" w:rsidRDefault="00AA3495" w:rsidP="00050520">
      <w:pPr>
        <w:pBdr>
          <w:top w:val="nil"/>
          <w:left w:val="nil"/>
          <w:bottom w:val="nil"/>
          <w:right w:val="nil"/>
          <w:between w:val="nil"/>
        </w:pBdr>
        <w:spacing w:before="240" w:after="240" w:line="240" w:lineRule="auto"/>
        <w:jc w:val="both"/>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The application for the second round of the Open Call for grants in 2025 is now open, with 10 grants to be awarded in the total amount of €103.500.</w:t>
      </w:r>
      <w:r>
        <w:rPr>
          <w:rFonts w:ascii="Times New Roman" w:eastAsia="Times New Roman" w:hAnsi="Times New Roman" w:cs="Times New Roman"/>
          <w:color w:val="0D0D0D"/>
          <w:sz w:val="24"/>
          <w:szCs w:val="24"/>
        </w:rPr>
        <w:t xml:space="preserve"> </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Local media and CSOs are invited to apply for the SEE Check Granting Scheme under one of the following lots:</w:t>
      </w:r>
    </w:p>
    <w:p w:rsidR="00B40F6A" w:rsidRDefault="00AA3495">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LOT 1:</w:t>
      </w: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Support for local media initiatives to enhance fact-checking and credible reporting capacities. These grants are intended for local media entities seeking to engage in fact-checking activities or produce credible content, including debunking disinformation or creating credible fact-based narratives. Projects should result in the production and promotion of such content, alongside enhanced capacities among journalistic and editorial staff. A long-term commitment to producing specialized content and the developing internal procedures to ensure content accuracy and credibility will be advantageous in the selection process. Grants may also support the production of specialized engaging content tailored to specific audiences.</w:t>
      </w:r>
    </w:p>
    <w:p w:rsidR="00B40F6A" w:rsidRDefault="00AA3495">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LOT 2:</w:t>
      </w:r>
    </w:p>
    <w:p w:rsidR="00B40F6A" w:rsidRDefault="00AA3495">
      <w:pPr>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Support for local CSOs to enhance capacities in combating disinformation, promoting media literacy, or building resilience. These grants aim to empower local CSOs in the SEE region to conduct activities that strengthen their ability to combat disinformation. Projects can include community initiatives, online campaigns, multimedia content production and promotion, research, advocacy, policy actions, trainings, or other activities that align with the objectives of the lot. Preference will be given to initiatives ensuring sustained CSO engagement in the above-mentioned fields.</w:t>
      </w:r>
    </w:p>
    <w:p w:rsidR="00B40F6A" w:rsidRDefault="00AA3495">
      <w:pPr>
        <w:pBdr>
          <w:top w:val="nil"/>
          <w:left w:val="nil"/>
          <w:bottom w:val="nil"/>
          <w:right w:val="nil"/>
          <w:between w:val="nil"/>
        </w:pBdr>
        <w:shd w:val="clear" w:color="auto" w:fill="FFFFFF"/>
        <w:spacing w:before="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Eligibility</w:t>
      </w:r>
    </w:p>
    <w:p w:rsidR="00B40F6A" w:rsidRDefault="00AA3495">
      <w:pPr>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Eligible entities must:</w:t>
      </w:r>
    </w:p>
    <w:p w:rsidR="00B40F6A" w:rsidRDefault="003A46DE">
      <w:pPr>
        <w:pBdr>
          <w:top w:val="nil"/>
          <w:left w:val="nil"/>
          <w:bottom w:val="nil"/>
          <w:right w:val="nil"/>
          <w:between w:val="nil"/>
        </w:pBdr>
        <w:shd w:val="clear" w:color="auto" w:fill="FFFFFF"/>
        <w:spacing w:before="420" w:line="240" w:lineRule="auto"/>
        <w:ind w:left="360"/>
        <w:jc w:val="both"/>
        <w:rPr>
          <w:rFonts w:ascii="Times New Roman" w:eastAsia="Times New Roman" w:hAnsi="Times New Roman" w:cs="Times New Roman"/>
          <w:color w:val="000000"/>
          <w:sz w:val="24"/>
          <w:szCs w:val="24"/>
        </w:rPr>
      </w:pPr>
      <w:sdt>
        <w:sdtPr>
          <w:tag w:val="goog_rdk_0"/>
          <w:id w:val="282042914"/>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proofErr w:type="gramStart"/>
      <w:r w:rsidR="00AA3495">
        <w:rPr>
          <w:rFonts w:ascii="Times New Roman" w:eastAsia="Times New Roman" w:hAnsi="Times New Roman" w:cs="Times New Roman"/>
          <w:color w:val="0D0D0D"/>
          <w:sz w:val="24"/>
          <w:szCs w:val="24"/>
        </w:rPr>
        <w:t>Be</w:t>
      </w:r>
      <w:proofErr w:type="gramEnd"/>
      <w:r w:rsidR="00AA3495">
        <w:rPr>
          <w:rFonts w:ascii="Times New Roman" w:eastAsia="Times New Roman" w:hAnsi="Times New Roman" w:cs="Times New Roman"/>
          <w:color w:val="0D0D0D"/>
          <w:sz w:val="24"/>
          <w:szCs w:val="24"/>
        </w:rPr>
        <w:t xml:space="preserve"> legal persons.</w:t>
      </w:r>
    </w:p>
    <w:p w:rsidR="00B40F6A" w:rsidRDefault="003A46DE">
      <w:pPr>
        <w:pBdr>
          <w:top w:val="nil"/>
          <w:left w:val="nil"/>
          <w:bottom w:val="nil"/>
          <w:right w:val="nil"/>
          <w:between w:val="nil"/>
        </w:pBdr>
        <w:shd w:val="clear" w:color="auto" w:fill="FFFFFF"/>
        <w:spacing w:line="240" w:lineRule="auto"/>
        <w:ind w:left="720" w:hanging="360"/>
        <w:jc w:val="both"/>
        <w:rPr>
          <w:rFonts w:ascii="Times New Roman" w:eastAsia="Times New Roman" w:hAnsi="Times New Roman" w:cs="Times New Roman"/>
          <w:color w:val="000000"/>
          <w:sz w:val="24"/>
          <w:szCs w:val="24"/>
        </w:rPr>
      </w:pPr>
      <w:sdt>
        <w:sdtPr>
          <w:tag w:val="goog_rdk_1"/>
          <w:id w:val="1088000183"/>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proofErr w:type="gramStart"/>
      <w:r w:rsidR="00AA3495">
        <w:rPr>
          <w:rFonts w:ascii="Times New Roman" w:eastAsia="Times New Roman" w:hAnsi="Times New Roman" w:cs="Times New Roman"/>
          <w:color w:val="0D0D0D"/>
          <w:sz w:val="24"/>
          <w:szCs w:val="24"/>
        </w:rPr>
        <w:t>Be</w:t>
      </w:r>
      <w:proofErr w:type="gramEnd"/>
      <w:r w:rsidR="00AA3495">
        <w:rPr>
          <w:rFonts w:ascii="Times New Roman" w:eastAsia="Times New Roman" w:hAnsi="Times New Roman" w:cs="Times New Roman"/>
          <w:color w:val="0D0D0D"/>
          <w:sz w:val="24"/>
          <w:szCs w:val="24"/>
        </w:rPr>
        <w:t xml:space="preserve"> non-profit organizations or registered as media outlets in</w:t>
      </w:r>
      <w:r w:rsidR="00AA3495">
        <w:rPr>
          <w:rFonts w:ascii="Times New Roman" w:eastAsia="Times New Roman" w:hAnsi="Times New Roman" w:cs="Times New Roman"/>
          <w:color w:val="000000"/>
          <w:sz w:val="24"/>
          <w:szCs w:val="24"/>
        </w:rPr>
        <w:t xml:space="preserve"> </w:t>
      </w:r>
      <w:r w:rsidR="00AA3495">
        <w:rPr>
          <w:rFonts w:ascii="Times New Roman" w:eastAsia="Times New Roman" w:hAnsi="Times New Roman" w:cs="Times New Roman"/>
          <w:color w:val="0D0D0D"/>
          <w:sz w:val="24"/>
          <w:szCs w:val="24"/>
        </w:rPr>
        <w:t>Serbia, Montenegro, Bosnia and Herzegovina, Albania, or Kosovo.</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
          <w:id w:val="620219191"/>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proofErr w:type="gramStart"/>
      <w:r w:rsidR="00AA3495">
        <w:rPr>
          <w:rFonts w:ascii="Times New Roman" w:eastAsia="Times New Roman" w:hAnsi="Times New Roman" w:cs="Times New Roman"/>
          <w:color w:val="0D0D0D"/>
          <w:sz w:val="24"/>
          <w:szCs w:val="24"/>
        </w:rPr>
        <w:t>Be</w:t>
      </w:r>
      <w:proofErr w:type="gramEnd"/>
      <w:r w:rsidR="00AA3495">
        <w:rPr>
          <w:rFonts w:ascii="Times New Roman" w:eastAsia="Times New Roman" w:hAnsi="Times New Roman" w:cs="Times New Roman"/>
          <w:color w:val="0D0D0D"/>
          <w:sz w:val="24"/>
          <w:szCs w:val="24"/>
        </w:rPr>
        <w:t xml:space="preserve"> civil society organizations or media entities. </w:t>
      </w:r>
    </w:p>
    <w:p w:rsidR="00B40F6A" w:rsidRDefault="003A46DE">
      <w:pPr>
        <w:pBdr>
          <w:top w:val="nil"/>
          <w:left w:val="nil"/>
          <w:bottom w:val="nil"/>
          <w:right w:val="nil"/>
          <w:between w:val="nil"/>
        </w:pBdr>
        <w:shd w:val="clear" w:color="auto" w:fill="FFFFFF"/>
        <w:spacing w:line="240" w:lineRule="auto"/>
        <w:ind w:left="720" w:hanging="360"/>
        <w:jc w:val="both"/>
        <w:rPr>
          <w:rFonts w:ascii="Times New Roman" w:eastAsia="Times New Roman" w:hAnsi="Times New Roman" w:cs="Times New Roman"/>
          <w:color w:val="000000"/>
          <w:sz w:val="24"/>
          <w:szCs w:val="24"/>
        </w:rPr>
      </w:pPr>
      <w:sdt>
        <w:sdtPr>
          <w:tag w:val="goog_rdk_3"/>
          <w:id w:val="225819313"/>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Assume direct responsibility for the preparation and management of the project.</w:t>
      </w:r>
    </w:p>
    <w:p w:rsidR="00B40F6A" w:rsidRDefault="003A46DE">
      <w:pPr>
        <w:pBdr>
          <w:top w:val="nil"/>
          <w:left w:val="nil"/>
          <w:bottom w:val="nil"/>
          <w:right w:val="nil"/>
          <w:between w:val="nil"/>
        </w:pBdr>
        <w:shd w:val="clear" w:color="auto" w:fill="FFFFFF"/>
        <w:spacing w:line="240" w:lineRule="auto"/>
        <w:ind w:left="720" w:hanging="360"/>
        <w:jc w:val="both"/>
        <w:rPr>
          <w:rFonts w:ascii="Times New Roman" w:eastAsia="Times New Roman" w:hAnsi="Times New Roman" w:cs="Times New Roman"/>
          <w:color w:val="000000"/>
          <w:sz w:val="24"/>
          <w:szCs w:val="24"/>
        </w:rPr>
      </w:pPr>
      <w:sdt>
        <w:sdtPr>
          <w:tag w:val="goog_rdk_4"/>
          <w:id w:val="-1170477832"/>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Possess a minimum of one year of CSO/media work experience.</w:t>
      </w:r>
    </w:p>
    <w:p w:rsidR="00B40F6A" w:rsidRDefault="003A46DE">
      <w:pPr>
        <w:pBdr>
          <w:top w:val="nil"/>
          <w:left w:val="nil"/>
          <w:bottom w:val="nil"/>
          <w:right w:val="nil"/>
          <w:between w:val="nil"/>
        </w:pBdr>
        <w:shd w:val="clear" w:color="auto" w:fill="FFFFFF"/>
        <w:spacing w:line="240" w:lineRule="auto"/>
        <w:ind w:left="720" w:hanging="360"/>
        <w:jc w:val="both"/>
        <w:rPr>
          <w:rFonts w:ascii="Times New Roman" w:eastAsia="Times New Roman" w:hAnsi="Times New Roman" w:cs="Times New Roman"/>
          <w:color w:val="000000"/>
          <w:sz w:val="24"/>
          <w:szCs w:val="24"/>
        </w:rPr>
      </w:pPr>
      <w:sdt>
        <w:sdtPr>
          <w:tag w:val="goog_rdk_5"/>
          <w:id w:val="456781404"/>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proofErr w:type="gramStart"/>
      <w:r w:rsidR="00AA3495">
        <w:rPr>
          <w:rFonts w:ascii="Times New Roman" w:eastAsia="Times New Roman" w:hAnsi="Times New Roman" w:cs="Times New Roman"/>
          <w:color w:val="0D0D0D"/>
          <w:sz w:val="24"/>
          <w:szCs w:val="24"/>
        </w:rPr>
        <w:t>The</w:t>
      </w:r>
      <w:proofErr w:type="gramEnd"/>
      <w:r w:rsidR="00AA3495">
        <w:rPr>
          <w:rFonts w:ascii="Times New Roman" w:eastAsia="Times New Roman" w:hAnsi="Times New Roman" w:cs="Times New Roman"/>
          <w:color w:val="0D0D0D"/>
          <w:sz w:val="24"/>
          <w:szCs w:val="24"/>
        </w:rPr>
        <w:t xml:space="preserve"> scope of activities must focus on one of the Balkan countries or the Western Balkans region.</w:t>
      </w:r>
      <w:r w:rsidR="00AA3495">
        <w:rPr>
          <w:rFonts w:ascii="Times New Roman" w:eastAsia="Times New Roman" w:hAnsi="Times New Roman" w:cs="Times New Roman"/>
          <w:color w:val="0D0D0D"/>
          <w:sz w:val="24"/>
          <w:szCs w:val="24"/>
        </w:rPr>
        <w:br/>
      </w:r>
    </w:p>
    <w:p w:rsidR="00B40F6A" w:rsidRDefault="00AA3495">
      <w:pPr>
        <w:pBdr>
          <w:top w:val="nil"/>
          <w:left w:val="nil"/>
          <w:bottom w:val="nil"/>
          <w:right w:val="nil"/>
          <w:between w:val="nil"/>
        </w:pBdr>
        <w:shd w:val="clear" w:color="auto" w:fill="FFFFFF"/>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List of Specific Criteria for the selection of project(s):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6"/>
          <w:id w:val="-325963483"/>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Proposed activities have a minimum duration of three and maximum duration of six months.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7"/>
          <w:id w:val="70887867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Activities aim to produce credible content, improve media credibility, increase media literacy and/or resilience to disinformation, and combat disinformation and misinformation.</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8"/>
          <w:id w:val="-122163424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Proposed activities have the potential for longer-lasting impact in communities or target audiences.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9"/>
          <w:id w:val="80554075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 xml:space="preserve">Proposed activities must include visibility and promotion plans.  </w:t>
      </w:r>
      <w:r w:rsidR="00AA3495">
        <w:rPr>
          <w:rFonts w:ascii="Times New Roman" w:eastAsia="Times New Roman" w:hAnsi="Times New Roman" w:cs="Times New Roman"/>
          <w:color w:val="000000"/>
          <w:sz w:val="24"/>
          <w:szCs w:val="24"/>
        </w:rPr>
        <w:t>Networking with other stakeholders</w:t>
      </w:r>
      <w:r w:rsidR="00AA3495">
        <w:rPr>
          <w:rFonts w:ascii="Times New Roman" w:eastAsia="Times New Roman" w:hAnsi="Times New Roman" w:cs="Times New Roman"/>
          <w:color w:val="0D0D0D"/>
          <w:sz w:val="24"/>
          <w:szCs w:val="24"/>
        </w:rPr>
        <w:t xml:space="preserve"> (CSOs, government authorities, and media) </w:t>
      </w:r>
      <w:r w:rsidR="00AA3495">
        <w:rPr>
          <w:rFonts w:ascii="Times New Roman" w:eastAsia="Times New Roman" w:hAnsi="Times New Roman" w:cs="Times New Roman"/>
          <w:color w:val="000000"/>
          <w:sz w:val="24"/>
          <w:szCs w:val="24"/>
        </w:rPr>
        <w:t xml:space="preserve">is a substantial part of the activity plan. </w:t>
      </w:r>
      <w:r w:rsidR="00AA3495">
        <w:rPr>
          <w:rFonts w:ascii="Times New Roman" w:eastAsia="Times New Roman" w:hAnsi="Times New Roman" w:cs="Times New Roman"/>
          <w:color w:val="0D0D0D"/>
          <w:sz w:val="24"/>
          <w:szCs w:val="24"/>
        </w:rPr>
        <w:t xml:space="preserve"> </w:t>
      </w:r>
      <w:proofErr w:type="gramStart"/>
      <w:r w:rsidR="00AA3495">
        <w:rPr>
          <w:rFonts w:ascii="Times New Roman" w:eastAsia="Times New Roman" w:hAnsi="Times New Roman" w:cs="Times New Roman"/>
          <w:color w:val="0D0D0D"/>
          <w:sz w:val="24"/>
          <w:szCs w:val="24"/>
        </w:rPr>
        <w:t>topics</w:t>
      </w:r>
      <w:proofErr w:type="gramEnd"/>
      <w:r w:rsidR="00AA3495">
        <w:rPr>
          <w:rFonts w:ascii="Times New Roman" w:eastAsia="Times New Roman" w:hAnsi="Times New Roman" w:cs="Times New Roman"/>
          <w:color w:val="0D0D0D"/>
          <w:sz w:val="24"/>
          <w:szCs w:val="24"/>
        </w:rPr>
        <w:t xml:space="preserve">., </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0"/>
          <w:id w:val="-5276019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Proposed activities have potential for visibility and promotion.</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1"/>
          <w:id w:val="1640949005"/>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Proposed activities do not discriminate against or offend any group of citizens.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2"/>
          <w:id w:val="1635751394"/>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Clear link exists between set objectives and project activities.</w:t>
      </w:r>
    </w:p>
    <w:p w:rsidR="00B40F6A" w:rsidRDefault="003A46DE">
      <w:pPr>
        <w:pBdr>
          <w:top w:val="nil"/>
          <w:left w:val="nil"/>
          <w:bottom w:val="nil"/>
          <w:right w:val="nil"/>
          <w:between w:val="nil"/>
        </w:pBdr>
        <w:shd w:val="clear" w:color="auto" w:fill="FFFFFF"/>
        <w:spacing w:after="420" w:line="240" w:lineRule="auto"/>
        <w:ind w:left="360"/>
        <w:jc w:val="both"/>
        <w:rPr>
          <w:rFonts w:ascii="Times New Roman" w:eastAsia="Times New Roman" w:hAnsi="Times New Roman" w:cs="Times New Roman"/>
          <w:color w:val="000000"/>
          <w:sz w:val="24"/>
          <w:szCs w:val="24"/>
        </w:rPr>
      </w:pPr>
      <w:sdt>
        <w:sdtPr>
          <w:tag w:val="goog_rdk_13"/>
          <w:id w:val="107800376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proofErr w:type="gramStart"/>
      <w:r w:rsidR="00AA3495">
        <w:rPr>
          <w:rFonts w:ascii="Times New Roman" w:eastAsia="Times New Roman" w:hAnsi="Times New Roman" w:cs="Times New Roman"/>
          <w:color w:val="0D0D0D"/>
          <w:sz w:val="24"/>
          <w:szCs w:val="24"/>
        </w:rPr>
        <w:t>The</w:t>
      </w:r>
      <w:proofErr w:type="gramEnd"/>
      <w:r w:rsidR="00AA3495">
        <w:rPr>
          <w:rFonts w:ascii="Times New Roman" w:eastAsia="Times New Roman" w:hAnsi="Times New Roman" w:cs="Times New Roman"/>
          <w:color w:val="0D0D0D"/>
          <w:sz w:val="24"/>
          <w:szCs w:val="24"/>
        </w:rPr>
        <w:t xml:space="preserve"> budget is realistic and aligned with project activities.</w:t>
      </w:r>
    </w:p>
    <w:p w:rsidR="00B40F6A" w:rsidRDefault="00AA3495">
      <w:pPr>
        <w:pBdr>
          <w:top w:val="nil"/>
          <w:left w:val="nil"/>
          <w:bottom w:val="nil"/>
          <w:right w:val="nil"/>
          <w:between w:val="nil"/>
        </w:pBdr>
        <w:shd w:val="clear" w:color="auto" w:fill="FFFFFF"/>
        <w:spacing w:before="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Types of Eligible Activities</w:t>
      </w:r>
    </w:p>
    <w:p w:rsidR="00B40F6A" w:rsidRDefault="00AA3495">
      <w:pPr>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Activities eligible for support include:</w:t>
      </w:r>
    </w:p>
    <w:p w:rsidR="00B40F6A" w:rsidRDefault="003A46DE">
      <w:pPr>
        <w:pBdr>
          <w:top w:val="nil"/>
          <w:left w:val="nil"/>
          <w:bottom w:val="nil"/>
          <w:right w:val="nil"/>
          <w:between w:val="nil"/>
        </w:pBdr>
        <w:shd w:val="clear" w:color="auto" w:fill="FFFFFF"/>
        <w:spacing w:before="420" w:line="240" w:lineRule="auto"/>
        <w:ind w:left="360"/>
        <w:jc w:val="both"/>
        <w:rPr>
          <w:rFonts w:ascii="Times New Roman" w:eastAsia="Times New Roman" w:hAnsi="Times New Roman" w:cs="Times New Roman"/>
          <w:color w:val="000000"/>
          <w:sz w:val="24"/>
          <w:szCs w:val="24"/>
        </w:rPr>
      </w:pPr>
      <w:sdt>
        <w:sdtPr>
          <w:tag w:val="goog_rdk_14"/>
          <w:id w:val="-1432624375"/>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Media content production.</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5"/>
          <w:id w:val="358683696"/>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Online and offline promotional campaigns.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6"/>
          <w:id w:val="388202703"/>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Trainings, conferences, and public events.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7"/>
          <w:id w:val="66120809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Research and studies.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8"/>
          <w:id w:val="1991081542"/>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Policy and advocacy activities.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19"/>
          <w:id w:val="-1074041288"/>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Community initiatives and public presentations.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0"/>
          <w:id w:val="-1648381305"/>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Development of online tools and websites.</w:t>
      </w:r>
    </w:p>
    <w:p w:rsidR="00B40F6A" w:rsidRDefault="003A46DE">
      <w:pPr>
        <w:pBdr>
          <w:top w:val="nil"/>
          <w:left w:val="nil"/>
          <w:bottom w:val="nil"/>
          <w:right w:val="nil"/>
          <w:between w:val="nil"/>
        </w:pBdr>
        <w:shd w:val="clear" w:color="auto" w:fill="FFFFFF"/>
        <w:spacing w:after="420" w:line="240" w:lineRule="auto"/>
        <w:ind w:left="360"/>
        <w:jc w:val="both"/>
        <w:rPr>
          <w:rFonts w:ascii="Times New Roman" w:eastAsia="Times New Roman" w:hAnsi="Times New Roman" w:cs="Times New Roman"/>
          <w:color w:val="000000"/>
          <w:sz w:val="24"/>
          <w:szCs w:val="24"/>
        </w:rPr>
      </w:pPr>
      <w:sdt>
        <w:sdtPr>
          <w:tag w:val="goog_rdk_21"/>
          <w:id w:val="1582456245"/>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Investigative journalism.</w:t>
      </w:r>
    </w:p>
    <w:p w:rsidR="00B40F6A" w:rsidRDefault="00AA3495">
      <w:pPr>
        <w:pBdr>
          <w:top w:val="nil"/>
          <w:left w:val="nil"/>
          <w:bottom w:val="nil"/>
          <w:right w:val="nil"/>
          <w:between w:val="nil"/>
        </w:pBdr>
        <w:shd w:val="clear" w:color="auto" w:fill="FFFFFF"/>
        <w:spacing w:before="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Ineligible Actions</w:t>
      </w:r>
    </w:p>
    <w:p w:rsidR="00B40F6A" w:rsidRDefault="00AA3495">
      <w:pPr>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The following actions are ineligible:</w:t>
      </w:r>
    </w:p>
    <w:p w:rsidR="00B40F6A" w:rsidRDefault="003A46DE">
      <w:pPr>
        <w:pBdr>
          <w:top w:val="nil"/>
          <w:left w:val="nil"/>
          <w:bottom w:val="nil"/>
          <w:right w:val="nil"/>
          <w:between w:val="nil"/>
        </w:pBdr>
        <w:shd w:val="clear" w:color="auto" w:fill="FFFFFF"/>
        <w:spacing w:before="420" w:line="240" w:lineRule="auto"/>
        <w:ind w:left="360"/>
        <w:jc w:val="both"/>
        <w:rPr>
          <w:rFonts w:ascii="Times New Roman" w:eastAsia="Times New Roman" w:hAnsi="Times New Roman" w:cs="Times New Roman"/>
          <w:color w:val="000000"/>
          <w:sz w:val="24"/>
          <w:szCs w:val="24"/>
        </w:rPr>
      </w:pPr>
      <w:sdt>
        <w:sdtPr>
          <w:tag w:val="goog_rdk_22"/>
          <w:id w:val="-270728166"/>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Individual sponsorships for workshops, seminars, or conferences.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3"/>
          <w:id w:val="-882802695"/>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Scholarships for studies or training programs.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4"/>
          <w:id w:val="32946307"/>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Study visits or participation in international forums.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5"/>
          <w:id w:val="-45333004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Projects focused primarily on infrastructure or equipment.</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6"/>
          <w:id w:val="524236346"/>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Purchase or renovation of buildings/offices.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7"/>
          <w:id w:val="1765331023"/>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Activities initiated prior to the signing of the contract.</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8"/>
          <w:id w:val="-1319185530"/>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Profit-making endeavors.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29"/>
          <w:id w:val="-1311130726"/>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proofErr w:type="gramStart"/>
      <w:r w:rsidR="00AA3495">
        <w:rPr>
          <w:rFonts w:ascii="Times New Roman" w:eastAsia="Times New Roman" w:hAnsi="Times New Roman" w:cs="Times New Roman"/>
          <w:color w:val="0D0D0D"/>
          <w:sz w:val="24"/>
          <w:szCs w:val="24"/>
        </w:rPr>
        <w:t>Charitable</w:t>
      </w:r>
      <w:proofErr w:type="gramEnd"/>
      <w:r w:rsidR="00AA3495">
        <w:rPr>
          <w:rFonts w:ascii="Times New Roman" w:eastAsia="Times New Roman" w:hAnsi="Times New Roman" w:cs="Times New Roman"/>
          <w:color w:val="0D0D0D"/>
          <w:sz w:val="24"/>
          <w:szCs w:val="24"/>
        </w:rPr>
        <w:t xml:space="preserve"> donations.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30"/>
          <w:id w:val="166830308"/>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Discriminatory actions.</w:t>
      </w:r>
    </w:p>
    <w:p w:rsidR="00B40F6A" w:rsidRDefault="003A46DE">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sdt>
        <w:sdtPr>
          <w:tag w:val="goog_rdk_31"/>
          <w:id w:val="-2010866396"/>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Support for individual political parties.</w:t>
      </w:r>
    </w:p>
    <w:p w:rsidR="00B40F6A" w:rsidRDefault="003A46DE">
      <w:pPr>
        <w:pBdr>
          <w:top w:val="nil"/>
          <w:left w:val="nil"/>
          <w:bottom w:val="nil"/>
          <w:right w:val="nil"/>
          <w:between w:val="nil"/>
        </w:pBdr>
        <w:shd w:val="clear" w:color="auto" w:fill="FFFFFF"/>
        <w:spacing w:after="420" w:line="240" w:lineRule="auto"/>
        <w:ind w:left="360"/>
        <w:jc w:val="both"/>
        <w:rPr>
          <w:rFonts w:ascii="Times New Roman" w:eastAsia="Times New Roman" w:hAnsi="Times New Roman" w:cs="Times New Roman"/>
          <w:color w:val="0D0D0D"/>
          <w:sz w:val="24"/>
          <w:szCs w:val="24"/>
        </w:rPr>
      </w:pPr>
      <w:sdt>
        <w:sdtPr>
          <w:tag w:val="goog_rdk_32"/>
          <w:id w:val="-935376599"/>
        </w:sdtPr>
        <w:sdtContent>
          <w:r w:rsidR="00AA3495">
            <w:rPr>
              <w:rFonts w:ascii="Arial Unicode MS" w:eastAsia="Arial Unicode MS" w:hAnsi="Arial Unicode MS" w:cs="Arial Unicode MS"/>
              <w:color w:val="0D0D0D"/>
              <w:sz w:val="24"/>
              <w:szCs w:val="24"/>
            </w:rPr>
            <w:t>●</w:t>
          </w:r>
        </w:sdtContent>
      </w:sdt>
      <w:r w:rsidR="00AA3495">
        <w:rPr>
          <w:rFonts w:ascii="Times New Roman" w:eastAsia="Times New Roman" w:hAnsi="Times New Roman" w:cs="Times New Roman"/>
          <w:color w:val="0D0D0D"/>
          <w:sz w:val="14"/>
          <w:szCs w:val="14"/>
        </w:rPr>
        <w:t xml:space="preserve">   </w:t>
      </w:r>
      <w:r w:rsidR="00AA3495">
        <w:rPr>
          <w:rFonts w:ascii="Times New Roman" w:eastAsia="Times New Roman" w:hAnsi="Times New Roman" w:cs="Times New Roman"/>
          <w:color w:val="0D0D0D"/>
          <w:sz w:val="14"/>
          <w:szCs w:val="14"/>
        </w:rPr>
        <w:tab/>
      </w:r>
      <w:r w:rsidR="00AA3495">
        <w:rPr>
          <w:rFonts w:ascii="Times New Roman" w:eastAsia="Times New Roman" w:hAnsi="Times New Roman" w:cs="Times New Roman"/>
          <w:color w:val="0D0D0D"/>
          <w:sz w:val="24"/>
          <w:szCs w:val="24"/>
        </w:rPr>
        <w:t>Projects already funded by other EU programs.</w:t>
      </w:r>
    </w:p>
    <w:p w:rsidR="00B40F6A" w:rsidRDefault="00AA3495">
      <w:pPr>
        <w:pBdr>
          <w:top w:val="nil"/>
          <w:left w:val="nil"/>
          <w:bottom w:val="nil"/>
          <w:right w:val="nil"/>
          <w:between w:val="nil"/>
        </w:pBdr>
        <w:shd w:val="clear" w:color="auto" w:fill="FFFFFF"/>
        <w:spacing w:before="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General criteria</w:t>
      </w:r>
    </w:p>
    <w:p w:rsidR="00B40F6A" w:rsidRDefault="00AA3495">
      <w:pPr>
        <w:pBdr>
          <w:top w:val="nil"/>
          <w:left w:val="nil"/>
          <w:bottom w:val="nil"/>
          <w:right w:val="nil"/>
          <w:between w:val="nil"/>
        </w:pBdr>
        <w:shd w:val="clear" w:color="auto" w:fill="FFFFFF"/>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In addition to meeting eligibility requirements, the applicants must meet the following general criteria:</w:t>
      </w:r>
    </w:p>
    <w:p w:rsidR="00B40F6A" w:rsidRDefault="00AA3495">
      <w:pPr>
        <w:numPr>
          <w:ilvl w:val="0"/>
          <w:numId w:val="8"/>
        </w:numPr>
        <w:pBdr>
          <w:top w:val="nil"/>
          <w:left w:val="nil"/>
          <w:bottom w:val="nil"/>
          <w:right w:val="nil"/>
          <w:between w:val="nil"/>
        </w:pBdr>
        <w:shd w:val="clear" w:color="auto" w:fill="FFFFFF"/>
        <w:spacing w:before="300" w:line="240" w:lineRule="auto"/>
      </w:pPr>
      <w:r>
        <w:rPr>
          <w:rFonts w:ascii="Times New Roman" w:eastAsia="Times New Roman" w:hAnsi="Times New Roman" w:cs="Times New Roman"/>
          <w:color w:val="0D0D0D"/>
          <w:sz w:val="24"/>
          <w:szCs w:val="24"/>
        </w:rPr>
        <w:t>Activities must focus on the actions described in the call</w:t>
      </w:r>
    </w:p>
    <w:p w:rsidR="00B40F6A" w:rsidRDefault="00AA3495">
      <w:pPr>
        <w:numPr>
          <w:ilvl w:val="0"/>
          <w:numId w:val="8"/>
        </w:numPr>
        <w:pBdr>
          <w:top w:val="nil"/>
          <w:left w:val="nil"/>
          <w:bottom w:val="nil"/>
          <w:right w:val="nil"/>
          <w:between w:val="nil"/>
        </w:pBdr>
        <w:shd w:val="clear" w:color="auto" w:fill="FFFFFF"/>
        <w:spacing w:line="240" w:lineRule="auto"/>
      </w:pPr>
      <w:r>
        <w:rPr>
          <w:rFonts w:ascii="Times New Roman" w:eastAsia="Times New Roman" w:hAnsi="Times New Roman" w:cs="Times New Roman"/>
          <w:color w:val="0D0D0D"/>
          <w:sz w:val="24"/>
          <w:szCs w:val="24"/>
        </w:rPr>
        <w:t>Applications must be fully completed (administrative and technical part) and written in English. Applications partially written in another language are not eligible.</w:t>
      </w:r>
    </w:p>
    <w:p w:rsidR="00B40F6A" w:rsidRDefault="00AA3495">
      <w:pPr>
        <w:numPr>
          <w:ilvl w:val="0"/>
          <w:numId w:val="8"/>
        </w:numPr>
        <w:pBdr>
          <w:top w:val="nil"/>
          <w:left w:val="nil"/>
          <w:bottom w:val="nil"/>
          <w:right w:val="nil"/>
          <w:between w:val="nil"/>
        </w:pBdr>
        <w:shd w:val="clear" w:color="auto" w:fill="FFFFFF"/>
        <w:spacing w:line="240" w:lineRule="auto"/>
      </w:pPr>
      <w:r>
        <w:rPr>
          <w:rFonts w:ascii="Times New Roman" w:eastAsia="Times New Roman" w:hAnsi="Times New Roman" w:cs="Times New Roman"/>
          <w:color w:val="0D0D0D"/>
          <w:sz w:val="24"/>
          <w:szCs w:val="24"/>
        </w:rPr>
        <w:t>Applicants must submit their application via the provided email address using the templates provided. Applications submitted by other means will not be evaluated.</w:t>
      </w:r>
    </w:p>
    <w:p w:rsidR="00B40F6A" w:rsidRDefault="00AA3495">
      <w:pPr>
        <w:numPr>
          <w:ilvl w:val="0"/>
          <w:numId w:val="8"/>
        </w:numPr>
        <w:pBdr>
          <w:top w:val="nil"/>
          <w:left w:val="nil"/>
          <w:bottom w:val="nil"/>
          <w:right w:val="nil"/>
          <w:between w:val="nil"/>
        </w:pBdr>
        <w:shd w:val="clear" w:color="auto" w:fill="FFFFFF"/>
        <w:spacing w:line="240" w:lineRule="auto"/>
      </w:pPr>
      <w:r>
        <w:rPr>
          <w:rFonts w:ascii="Times New Roman" w:eastAsia="Times New Roman" w:hAnsi="Times New Roman" w:cs="Times New Roman"/>
          <w:color w:val="0D0D0D"/>
          <w:sz w:val="24"/>
          <w:szCs w:val="24"/>
        </w:rPr>
        <w:t>It is not possible to submit multiple applications under the same call.</w:t>
      </w:r>
    </w:p>
    <w:p w:rsidR="00B40F6A" w:rsidRPr="00050520" w:rsidRDefault="00AA3495">
      <w:pPr>
        <w:numPr>
          <w:ilvl w:val="0"/>
          <w:numId w:val="8"/>
        </w:numPr>
        <w:pBdr>
          <w:top w:val="nil"/>
          <w:left w:val="nil"/>
          <w:bottom w:val="nil"/>
          <w:right w:val="nil"/>
          <w:between w:val="nil"/>
        </w:pBdr>
        <w:shd w:val="clear" w:color="auto" w:fill="FFFFFF"/>
        <w:spacing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Applicants must declare that the same project has not received funding under another call.</w:t>
      </w:r>
    </w:p>
    <w:p w:rsidR="00B40F6A" w:rsidRPr="00050520" w:rsidRDefault="00AA3495">
      <w:pPr>
        <w:numPr>
          <w:ilvl w:val="0"/>
          <w:numId w:val="8"/>
        </w:numPr>
        <w:pBdr>
          <w:top w:val="nil"/>
          <w:left w:val="nil"/>
          <w:bottom w:val="nil"/>
          <w:right w:val="nil"/>
          <w:between w:val="nil"/>
        </w:pBdr>
        <w:shd w:val="clear" w:color="auto" w:fill="FFFFFF"/>
        <w:spacing w:line="240" w:lineRule="auto"/>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The funds requested under this call must range from a minimum of €5.000 to a maximum of €12.000.</w:t>
      </w:r>
    </w:p>
    <w:p w:rsidR="00B40F6A" w:rsidRPr="00050520" w:rsidRDefault="00AA3495">
      <w:pPr>
        <w:numPr>
          <w:ilvl w:val="0"/>
          <w:numId w:val="8"/>
        </w:numPr>
        <w:pBdr>
          <w:top w:val="nil"/>
          <w:left w:val="nil"/>
          <w:bottom w:val="nil"/>
          <w:right w:val="nil"/>
          <w:between w:val="nil"/>
        </w:pBdr>
        <w:shd w:val="clear" w:color="auto" w:fill="FFFFFF"/>
        <w:spacing w:line="240" w:lineRule="auto"/>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The project duration must be between three (3) and six (6) months, and all project activities must be completed no later than March 30, 2026.</w:t>
      </w:r>
    </w:p>
    <w:p w:rsidR="00B40F6A" w:rsidRDefault="00B40F6A">
      <w:pPr>
        <w:pBdr>
          <w:top w:val="nil"/>
          <w:left w:val="nil"/>
          <w:bottom w:val="nil"/>
          <w:right w:val="nil"/>
          <w:between w:val="nil"/>
        </w:pBdr>
        <w:shd w:val="clear" w:color="auto" w:fill="FFFFFF"/>
        <w:spacing w:before="300" w:line="240" w:lineRule="auto"/>
        <w:rPr>
          <w:rFonts w:ascii="Times New Roman" w:eastAsia="Times New Roman" w:hAnsi="Times New Roman" w:cs="Times New Roman"/>
          <w:color w:val="0D0D0D"/>
          <w:sz w:val="14"/>
          <w:szCs w:val="14"/>
        </w:rPr>
      </w:pPr>
    </w:p>
    <w:p w:rsidR="00B40F6A" w:rsidRDefault="00AA3495">
      <w:pPr>
        <w:pBdr>
          <w:top w:val="nil"/>
          <w:left w:val="nil"/>
          <w:bottom w:val="nil"/>
          <w:right w:val="nil"/>
          <w:between w:val="nil"/>
        </w:pBdr>
        <w:shd w:val="clear" w:color="auto" w:fill="FFFFFF"/>
        <w:spacing w:before="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Co-financing Principle</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sz w:val="24"/>
          <w:szCs w:val="24"/>
        </w:rPr>
      </w:pPr>
      <w:r w:rsidRPr="00050520">
        <w:rPr>
          <w:rFonts w:ascii="Times New Roman" w:eastAsia="Times New Roman" w:hAnsi="Times New Roman" w:cs="Times New Roman"/>
          <w:color w:val="0D0D0D"/>
          <w:sz w:val="24"/>
          <w:szCs w:val="24"/>
        </w:rPr>
        <w:t>The total grant amount will cover between 80% and 100% of the proposed action costs</w:t>
      </w:r>
      <w:r>
        <w:rPr>
          <w:rFonts w:ascii="Times New Roman" w:eastAsia="Times New Roman" w:hAnsi="Times New Roman" w:cs="Times New Roman"/>
          <w:color w:val="0D0D0D"/>
          <w:sz w:val="24"/>
          <w:szCs w:val="24"/>
        </w:rPr>
        <w:t>. The proposed budget and financial reports must clearly outline the co-financing component. Co-funding of the project by the applicant (or a partner) is not mandatory.</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Training and mentoring</w:t>
      </w:r>
    </w:p>
    <w:p w:rsidR="00B40F6A" w:rsidRDefault="00B40F6A">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SEE Check Network will organize training and mentoring sessions for CSOs and media outlets in the region. These sessions will address the capacity needs of local CSOs and media, providing them with additional tools, skills, and contacts to more efficiently implement their projects and continue combating disinformation in their work.</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Additionally, this initiative will benefit different CSOs that protect marginalized groups, as much of the disinformation debunking and fact-checking is oriented toward countering disinformation targeting marginalized communities.</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 xml:space="preserve">Entities awarded a grant from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Network sub-granting scheme are obliged to participate in the training and mentoring sessions. The grantees must take part in developing an implementation plan for the training and mentoring sessions</w:t>
      </w:r>
    </w:p>
    <w:p w:rsidR="00B40F6A" w:rsidRDefault="00AA3495">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As the designated representative of the SEE Check Network, the Association "Why not" will oversee the financial and programmatic implementation of the grants awarded under the call. Each grant recipient will be matched with a mentor from one of the SEE Check member-partner organizations, either from their native country or with expertise in the specific project theme awarded.</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FINANCIAL PROVISIONS</w:t>
      </w:r>
    </w:p>
    <w:p w:rsidR="00B40F6A" w:rsidRDefault="00B40F6A">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 xml:space="preserve">Eligible costs are actual costs incurred by the </w:t>
      </w:r>
      <w:proofErr w:type="gramStart"/>
      <w:r>
        <w:rPr>
          <w:rFonts w:ascii="Times New Roman" w:eastAsia="Times New Roman" w:hAnsi="Times New Roman" w:cs="Times New Roman"/>
          <w:color w:val="0D0D0D"/>
          <w:sz w:val="24"/>
          <w:szCs w:val="24"/>
        </w:rPr>
        <w:t>beneficiary(</w:t>
      </w:r>
      <w:proofErr w:type="spellStart"/>
      <w:proofErr w:type="gramEnd"/>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that meet all the following criteria:</w:t>
      </w:r>
    </w:p>
    <w:p w:rsidR="00B40F6A" w:rsidRDefault="00AA3495">
      <w:pPr>
        <w:pBdr>
          <w:top w:val="nil"/>
          <w:left w:val="nil"/>
          <w:bottom w:val="nil"/>
          <w:right w:val="nil"/>
          <w:between w:val="nil"/>
        </w:pBdr>
        <w:shd w:val="clear" w:color="auto" w:fill="FFFFFF"/>
        <w:spacing w:before="240" w:after="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They are incurred during the implementation of the action as specified in Article 2 of the special conditions. Specifically:</w:t>
      </w:r>
    </w:p>
    <w:p w:rsidR="00B40F6A" w:rsidRDefault="00AA3495">
      <w:pPr>
        <w:pBdr>
          <w:top w:val="nil"/>
          <w:left w:val="nil"/>
          <w:bottom w:val="nil"/>
          <w:right w:val="nil"/>
          <w:between w:val="nil"/>
        </w:pBdr>
        <w:shd w:val="clear" w:color="auto" w:fill="FFFFFF"/>
        <w:spacing w:before="240" w:line="240" w:lineRule="auto"/>
        <w:ind w:left="1200"/>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14"/>
          <w:szCs w:val="14"/>
        </w:rPr>
        <w:t>                        </w:t>
      </w:r>
      <w:proofErr w:type="spellStart"/>
      <w:r>
        <w:rPr>
          <w:rFonts w:ascii="Times New Roman" w:eastAsia="Times New Roman" w:hAnsi="Times New Roman" w:cs="Times New Roman"/>
          <w:color w:val="0D0D0D"/>
          <w:sz w:val="24"/>
          <w:szCs w:val="24"/>
        </w:rPr>
        <w:t>i</w:t>
      </w:r>
      <w:proofErr w:type="spellEnd"/>
      <w:r>
        <w:rPr>
          <w:rFonts w:ascii="Times New Roman" w:eastAsia="Times New Roman" w:hAnsi="Times New Roman" w:cs="Times New Roman"/>
          <w:color w:val="0D0D0D"/>
          <w:sz w:val="24"/>
          <w:szCs w:val="24"/>
        </w:rPr>
        <w:t>.</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24"/>
          <w:szCs w:val="24"/>
        </w:rPr>
        <w:t xml:space="preserve">Costs relating to services and works must pertain to activities performed during the implementation period. Costs relating to supplies must involve the delivery and installation of items during the implementation period. The signing of a contract, placing of an order, or entering into any commitment for expenditure within the implementation period for future delivery of services, works or supplies after expiry of the implementation period do not meet this requirement. Cash transfers between the coordinator and/or the other </w:t>
      </w:r>
      <w:proofErr w:type="gramStart"/>
      <w:r>
        <w:rPr>
          <w:rFonts w:ascii="Times New Roman" w:eastAsia="Times New Roman" w:hAnsi="Times New Roman" w:cs="Times New Roman"/>
          <w:color w:val="0D0D0D"/>
          <w:sz w:val="24"/>
          <w:szCs w:val="24"/>
        </w:rPr>
        <w:t>beneficiary(</w:t>
      </w:r>
      <w:proofErr w:type="spellStart"/>
      <w:proofErr w:type="gramEnd"/>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and/or affiliated entity(</w:t>
      </w:r>
      <w:proofErr w:type="spellStart"/>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may not be considered as costs incurred;</w:t>
      </w:r>
    </w:p>
    <w:p w:rsidR="00B40F6A" w:rsidRDefault="00AA3495">
      <w:pPr>
        <w:pBdr>
          <w:top w:val="nil"/>
          <w:left w:val="nil"/>
          <w:bottom w:val="nil"/>
          <w:right w:val="nil"/>
          <w:between w:val="nil"/>
        </w:pBdr>
        <w:shd w:val="clear" w:color="auto" w:fill="FFFFFF"/>
        <w:spacing w:after="240" w:line="240" w:lineRule="auto"/>
        <w:ind w:left="120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14"/>
          <w:szCs w:val="14"/>
        </w:rPr>
        <w:t>                      </w:t>
      </w:r>
      <w:r>
        <w:rPr>
          <w:rFonts w:ascii="Times New Roman" w:eastAsia="Times New Roman" w:hAnsi="Times New Roman" w:cs="Times New Roman"/>
          <w:color w:val="0D0D0D"/>
          <w:sz w:val="24"/>
          <w:szCs w:val="24"/>
        </w:rPr>
        <w:t>ii.</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24"/>
          <w:szCs w:val="24"/>
        </w:rPr>
        <w:t>Costs incurred must be paid before the submission of the final reports.</w:t>
      </w:r>
    </w:p>
    <w:p w:rsidR="00B40F6A" w:rsidRDefault="00AA3495">
      <w:pPr>
        <w:pBdr>
          <w:top w:val="nil"/>
          <w:left w:val="nil"/>
          <w:bottom w:val="nil"/>
          <w:right w:val="nil"/>
          <w:between w:val="nil"/>
        </w:pBdr>
        <w:shd w:val="clear" w:color="auto" w:fill="FFFFFF"/>
        <w:spacing w:before="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b)</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They are indicated in the estimated overall budget for the action;</w:t>
      </w:r>
    </w:p>
    <w:p w:rsidR="00B40F6A" w:rsidRDefault="00AA3495">
      <w:pPr>
        <w:pBdr>
          <w:top w:val="nil"/>
          <w:left w:val="nil"/>
          <w:bottom w:val="nil"/>
          <w:right w:val="nil"/>
          <w:between w:val="nil"/>
        </w:pBdr>
        <w:shd w:val="clear" w:color="auto" w:fill="FFFFFF"/>
        <w:spacing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c)</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They are necessary for the implementation of the action;</w:t>
      </w:r>
    </w:p>
    <w:p w:rsidR="00B40F6A" w:rsidRDefault="00AA3495">
      <w:pPr>
        <w:pBdr>
          <w:top w:val="nil"/>
          <w:left w:val="nil"/>
          <w:bottom w:val="nil"/>
          <w:right w:val="nil"/>
          <w:between w:val="nil"/>
        </w:pBdr>
        <w:shd w:val="clear" w:color="auto" w:fill="FFFFFF"/>
        <w:spacing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d)</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 xml:space="preserve">They are identifiable and verifiable, in particular being recorded in the accounting records of the </w:t>
      </w:r>
      <w:proofErr w:type="gramStart"/>
      <w:r>
        <w:rPr>
          <w:rFonts w:ascii="Times New Roman" w:eastAsia="Times New Roman" w:hAnsi="Times New Roman" w:cs="Times New Roman"/>
          <w:color w:val="0D0D0D"/>
          <w:sz w:val="24"/>
          <w:szCs w:val="24"/>
        </w:rPr>
        <w:t>beneficiary(</w:t>
      </w:r>
      <w:proofErr w:type="spellStart"/>
      <w:proofErr w:type="gramEnd"/>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and determined according to accounting standards and the usual cost accounting practices applicable to the beneficiary(</w:t>
      </w:r>
      <w:proofErr w:type="spellStart"/>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w:t>
      </w:r>
    </w:p>
    <w:p w:rsidR="00B40F6A" w:rsidRDefault="00AA3495">
      <w:pPr>
        <w:pBdr>
          <w:top w:val="nil"/>
          <w:left w:val="nil"/>
          <w:bottom w:val="nil"/>
          <w:right w:val="nil"/>
          <w:between w:val="nil"/>
        </w:pBdr>
        <w:shd w:val="clear" w:color="auto" w:fill="FFFFFF"/>
        <w:spacing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e)</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They comply with the requirements of applicable tax and social legislation;</w:t>
      </w:r>
    </w:p>
    <w:p w:rsidR="00B40F6A" w:rsidRDefault="00AA3495">
      <w:pPr>
        <w:pBdr>
          <w:top w:val="nil"/>
          <w:left w:val="nil"/>
          <w:bottom w:val="nil"/>
          <w:right w:val="nil"/>
          <w:between w:val="nil"/>
        </w:pBdr>
        <w:shd w:val="clear" w:color="auto" w:fill="FFFFFF"/>
        <w:spacing w:after="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f)</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24"/>
          <w:szCs w:val="24"/>
        </w:rPr>
        <w:t>They are reasonable, justified, and comply with the principles of sound financial management, in particular regarding economy and efficiency.</w:t>
      </w:r>
    </w:p>
    <w:p w:rsidR="00B40F6A" w:rsidRDefault="00AA3495">
      <w:pPr>
        <w:pBdr>
          <w:top w:val="nil"/>
          <w:left w:val="nil"/>
          <w:bottom w:val="nil"/>
          <w:right w:val="nil"/>
          <w:between w:val="nil"/>
        </w:pBdr>
        <w:shd w:val="clear" w:color="auto" w:fill="FFFFFF"/>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Eligible costs</w:t>
      </w:r>
    </w:p>
    <w:p w:rsidR="00B40F6A" w:rsidRDefault="00AA3495">
      <w:pPr>
        <w:pBdr>
          <w:top w:val="nil"/>
          <w:left w:val="nil"/>
          <w:bottom w:val="nil"/>
          <w:right w:val="nil"/>
          <w:between w:val="nil"/>
        </w:pBdr>
        <w:shd w:val="clear" w:color="auto" w:fill="FFFFFF"/>
        <w:spacing w:before="24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lastRenderedPageBreak/>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 xml:space="preserve">The cost of staff assigned to the action, corresponding to actual gross salaries including social security charges and other remuneration-related costs (excluding bonuses). Salaries and costs shall not exceed those normally borne by the </w:t>
      </w:r>
      <w:proofErr w:type="gramStart"/>
      <w:r>
        <w:rPr>
          <w:rFonts w:ascii="Times New Roman" w:eastAsia="Times New Roman" w:hAnsi="Times New Roman" w:cs="Times New Roman"/>
          <w:color w:val="0D0D0D"/>
          <w:sz w:val="24"/>
          <w:szCs w:val="24"/>
        </w:rPr>
        <w:t>beneficiary(</w:t>
      </w:r>
      <w:proofErr w:type="spellStart"/>
      <w:proofErr w:type="gramEnd"/>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unless it is justified by showing that it is essential to carry out the action;</w:t>
      </w:r>
    </w:p>
    <w:p w:rsidR="00B40F6A" w:rsidRDefault="00AA3495">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Travel and subsistence costs for staff and other persons taking part in the action, provided they do not exceed those normally borne by the beneficiary(</w:t>
      </w:r>
      <w:proofErr w:type="spellStart"/>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according to its rules and regulations. In addition, the rates published by the European Commission at the time of contract signature must not be exceeded;</w:t>
      </w:r>
    </w:p>
    <w:p w:rsidR="00B40F6A" w:rsidRDefault="00AA3495">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Costs of consumables specifically dedicated to the action;</w:t>
      </w:r>
    </w:p>
    <w:p w:rsidR="00B40F6A" w:rsidRDefault="00AA3495">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4.</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 xml:space="preserve">Costs of service, supply and work contracts awarded by the </w:t>
      </w:r>
      <w:proofErr w:type="gramStart"/>
      <w:r>
        <w:rPr>
          <w:rFonts w:ascii="Times New Roman" w:eastAsia="Times New Roman" w:hAnsi="Times New Roman" w:cs="Times New Roman"/>
          <w:color w:val="0D0D0D"/>
          <w:sz w:val="24"/>
          <w:szCs w:val="24"/>
        </w:rPr>
        <w:t>beneficiary(</w:t>
      </w:r>
      <w:proofErr w:type="spellStart"/>
      <w:proofErr w:type="gramEnd"/>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for the purposes of the action;</w:t>
      </w:r>
    </w:p>
    <w:p w:rsidR="00B40F6A" w:rsidRDefault="00AA3495">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5.</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Costs deriving directly from the requirements of the contract (dissemination of information, evaluation specific to the action, audits, translation, reproduction, insurance, etc.) including financial service costs (in particular the cost of transfers and financial guarantees where required according to the contract);</w:t>
      </w:r>
    </w:p>
    <w:p w:rsidR="00B40F6A" w:rsidRDefault="00AA3495">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6.</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 xml:space="preserve">Duties, taxes, and charges related to the purposes of the action, paid and not recoverable by the </w:t>
      </w:r>
      <w:proofErr w:type="gramStart"/>
      <w:r>
        <w:rPr>
          <w:rFonts w:ascii="Times New Roman" w:eastAsia="Times New Roman" w:hAnsi="Times New Roman" w:cs="Times New Roman"/>
          <w:color w:val="0D0D0D"/>
          <w:sz w:val="24"/>
          <w:szCs w:val="24"/>
        </w:rPr>
        <w:t>beneficiary(</w:t>
      </w:r>
      <w:proofErr w:type="spellStart"/>
      <w:proofErr w:type="gramEnd"/>
      <w:r>
        <w:rPr>
          <w:rFonts w:ascii="Times New Roman" w:eastAsia="Times New Roman" w:hAnsi="Times New Roman" w:cs="Times New Roman"/>
          <w:color w:val="0D0D0D"/>
          <w:sz w:val="24"/>
          <w:szCs w:val="24"/>
        </w:rPr>
        <w:t>ies</w:t>
      </w:r>
      <w:proofErr w:type="spellEnd"/>
      <w:r>
        <w:rPr>
          <w:rFonts w:ascii="Times New Roman" w:eastAsia="Times New Roman" w:hAnsi="Times New Roman" w:cs="Times New Roman"/>
          <w:color w:val="0D0D0D"/>
          <w:sz w:val="24"/>
          <w:szCs w:val="24"/>
        </w:rPr>
        <w:t>), unless otherwise provided in the special conditions;</w:t>
      </w:r>
    </w:p>
    <w:p w:rsidR="00B40F6A" w:rsidRDefault="00AA3495">
      <w:pPr>
        <w:pBdr>
          <w:top w:val="nil"/>
          <w:left w:val="nil"/>
          <w:bottom w:val="nil"/>
          <w:right w:val="nil"/>
          <w:between w:val="nil"/>
        </w:pBdr>
        <w:shd w:val="clear" w:color="auto" w:fill="FFFFFF"/>
        <w:spacing w:after="24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7.</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00000"/>
          <w:sz w:val="24"/>
          <w:szCs w:val="24"/>
        </w:rPr>
        <w:t xml:space="preserve">Project office costs: </w:t>
      </w:r>
      <w:r>
        <w:rPr>
          <w:rFonts w:ascii="Times New Roman" w:eastAsia="Times New Roman" w:hAnsi="Times New Roman" w:cs="Times New Roman"/>
          <w:color w:val="0D0D0D"/>
          <w:sz w:val="24"/>
          <w:szCs w:val="24"/>
        </w:rPr>
        <w:t>Costs actually incurred in relation to a project office used for the action or a portion of these costs may be accepted as eligible direct costs if:</w:t>
      </w:r>
    </w:p>
    <w:p w:rsidR="00B40F6A" w:rsidRDefault="00AA3495">
      <w:pPr>
        <w:numPr>
          <w:ilvl w:val="0"/>
          <w:numId w:val="7"/>
        </w:numPr>
        <w:pBdr>
          <w:top w:val="nil"/>
          <w:left w:val="nil"/>
          <w:bottom w:val="nil"/>
          <w:right w:val="nil"/>
          <w:between w:val="nil"/>
        </w:pBdr>
        <w:shd w:val="clear" w:color="auto" w:fill="FFFFFF"/>
        <w:tabs>
          <w:tab w:val="left" w:pos="360"/>
          <w:tab w:val="left" w:pos="450"/>
        </w:tabs>
        <w:spacing w:before="24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 need for setting up or using a project office is recognized by the Contracting Authority</w:t>
      </w:r>
    </w:p>
    <w:p w:rsidR="00B40F6A" w:rsidRDefault="00AA3495">
      <w:pPr>
        <w:numPr>
          <w:ilvl w:val="0"/>
          <w:numId w:val="7"/>
        </w:numPr>
        <w:pBdr>
          <w:top w:val="nil"/>
          <w:left w:val="nil"/>
          <w:bottom w:val="nil"/>
          <w:right w:val="nil"/>
          <w:between w:val="nil"/>
        </w:pBdr>
        <w:shd w:val="clear" w:color="auto" w:fill="FFFFFF"/>
        <w:tabs>
          <w:tab w:val="left" w:pos="360"/>
          <w:tab w:val="left" w:pos="450"/>
        </w:tabs>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 description of the project office, the services or resources it makes available, its overall capacity and (where applicable) the distribution key are provided in the Description of the Action and the Budget;</w:t>
      </w:r>
    </w:p>
    <w:p w:rsidR="00B40F6A" w:rsidRDefault="00AA3495">
      <w:pPr>
        <w:numPr>
          <w:ilvl w:val="0"/>
          <w:numId w:val="7"/>
        </w:numPr>
        <w:pBdr>
          <w:top w:val="nil"/>
          <w:left w:val="nil"/>
          <w:bottom w:val="nil"/>
          <w:right w:val="nil"/>
          <w:between w:val="nil"/>
        </w:pBdr>
        <w:shd w:val="clear" w:color="auto" w:fill="FFFFFF"/>
        <w:tabs>
          <w:tab w:val="left" w:pos="360"/>
          <w:tab w:val="left" w:pos="450"/>
        </w:tabs>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(Where applicable) the distribution key reasonably reflects the portion of the resources or services needed by and actually used for the Action</w:t>
      </w:r>
    </w:p>
    <w:p w:rsidR="00B40F6A" w:rsidRDefault="00AA3495">
      <w:pPr>
        <w:pBdr>
          <w:top w:val="nil"/>
          <w:left w:val="nil"/>
          <w:bottom w:val="nil"/>
          <w:right w:val="nil"/>
          <w:between w:val="nil"/>
        </w:pBdr>
        <w:shd w:val="clear" w:color="auto" w:fill="FFFFFF"/>
        <w:tabs>
          <w:tab w:val="left" w:pos="360"/>
          <w:tab w:val="left" w:pos="450"/>
        </w:tabs>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14"/>
          <w:szCs w:val="14"/>
        </w:rPr>
        <w:t>  </w:t>
      </w:r>
      <w:r>
        <w:rPr>
          <w:rFonts w:ascii="Times New Roman" w:eastAsia="Times New Roman" w:hAnsi="Times New Roman" w:cs="Times New Roman"/>
          <w:color w:val="0D0D0D"/>
          <w:sz w:val="24"/>
          <w:szCs w:val="24"/>
        </w:rPr>
        <w:t>IV.</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00000"/>
          <w:sz w:val="24"/>
          <w:szCs w:val="24"/>
        </w:rPr>
        <w:t>They fall within one of the following categories:</w:t>
      </w:r>
    </w:p>
    <w:p w:rsidR="00B40F6A" w:rsidRDefault="00AA3495">
      <w:pPr>
        <w:pBdr>
          <w:top w:val="nil"/>
          <w:left w:val="nil"/>
          <w:bottom w:val="nil"/>
          <w:right w:val="nil"/>
          <w:between w:val="nil"/>
        </w:pBdr>
        <w:shd w:val="clear" w:color="auto" w:fill="FFFFFF"/>
        <w:spacing w:before="240" w:line="240" w:lineRule="auto"/>
        <w:ind w:left="3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Costs of staff directly assigned to the operations of the project office;</w:t>
      </w:r>
    </w:p>
    <w:p w:rsidR="00B40F6A" w:rsidRDefault="00AA3495">
      <w:pPr>
        <w:pBdr>
          <w:top w:val="nil"/>
          <w:left w:val="nil"/>
          <w:bottom w:val="nil"/>
          <w:right w:val="nil"/>
          <w:between w:val="nil"/>
        </w:pBdr>
        <w:shd w:val="clear" w:color="auto" w:fill="FFFFFF"/>
        <w:spacing w:line="240" w:lineRule="auto"/>
        <w:ind w:left="3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Rental costs;</w:t>
      </w:r>
    </w:p>
    <w:p w:rsidR="00B40F6A" w:rsidRDefault="00AA3495">
      <w:pPr>
        <w:pBdr>
          <w:top w:val="nil"/>
          <w:left w:val="nil"/>
          <w:bottom w:val="nil"/>
          <w:right w:val="nil"/>
          <w:between w:val="nil"/>
        </w:pBdr>
        <w:shd w:val="clear" w:color="auto" w:fill="FFFFFF"/>
        <w:spacing w:line="240" w:lineRule="auto"/>
        <w:ind w:left="3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Costs of maintenance and repair contracts;</w:t>
      </w:r>
    </w:p>
    <w:p w:rsidR="00B40F6A" w:rsidRDefault="00AA3495">
      <w:pPr>
        <w:pBdr>
          <w:top w:val="nil"/>
          <w:left w:val="nil"/>
          <w:bottom w:val="nil"/>
          <w:right w:val="nil"/>
          <w:between w:val="nil"/>
        </w:pBdr>
        <w:shd w:val="clear" w:color="auto" w:fill="FFFFFF"/>
        <w:spacing w:line="240" w:lineRule="auto"/>
        <w:ind w:left="3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Costs of consumables and supplies specifically dedicated to the action;</w:t>
      </w:r>
    </w:p>
    <w:p w:rsidR="00B40F6A" w:rsidRDefault="00AA3495">
      <w:pPr>
        <w:pBdr>
          <w:top w:val="nil"/>
          <w:left w:val="nil"/>
          <w:bottom w:val="nil"/>
          <w:right w:val="nil"/>
          <w:between w:val="nil"/>
        </w:pBdr>
        <w:shd w:val="clear" w:color="auto" w:fill="FFFFFF"/>
        <w:spacing w:after="240" w:line="240" w:lineRule="auto"/>
        <w:ind w:left="3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Costs of IT and telecommunication services;</w:t>
      </w:r>
    </w:p>
    <w:p w:rsidR="00B40F6A" w:rsidRDefault="00AA3495">
      <w:pPr>
        <w:pBdr>
          <w:top w:val="nil"/>
          <w:left w:val="nil"/>
          <w:bottom w:val="nil"/>
          <w:right w:val="nil"/>
          <w:between w:val="nil"/>
        </w:pBdr>
        <w:shd w:val="clear" w:color="auto" w:fill="FFFFFF"/>
        <w:spacing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Non-eligible costs</w:t>
      </w:r>
    </w:p>
    <w:p w:rsidR="00B40F6A" w:rsidRDefault="00B40F6A">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Debts and debt service charges (interest);</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Provisions for losses, debts or potential future liabilities;</w:t>
      </w:r>
    </w:p>
    <w:p w:rsidR="00B40F6A" w:rsidRDefault="00AA3495" w:rsidP="00050520">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Costs declared by the beneficiary(</w:t>
      </w:r>
      <w:proofErr w:type="spellStart"/>
      <w:r>
        <w:rPr>
          <w:rFonts w:ascii="Times New Roman" w:eastAsia="Times New Roman" w:hAnsi="Times New Roman" w:cs="Times New Roman"/>
          <w:color w:val="000000"/>
          <w:sz w:val="24"/>
          <w:szCs w:val="24"/>
        </w:rPr>
        <w:t>ies</w:t>
      </w:r>
      <w:proofErr w:type="spellEnd"/>
      <w:r>
        <w:rPr>
          <w:rFonts w:ascii="Times New Roman" w:eastAsia="Times New Roman" w:hAnsi="Times New Roman" w:cs="Times New Roman"/>
          <w:color w:val="000000"/>
          <w:sz w:val="24"/>
          <w:szCs w:val="24"/>
        </w:rPr>
        <w:t xml:space="preserve">) and financed by another action or work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receiving a European Union grant (including through the European Development Fund);</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Currency exchange losses;</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Credits to third parties, unless otherwise specified in the special conditions;</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In-kind contributions (except for volunteers' work);</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Bonuses included in staff costs;</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Negative interest charged by banks or other financial institutions;</w:t>
      </w:r>
    </w:p>
    <w:p w:rsidR="00B40F6A" w:rsidRDefault="00AA3495">
      <w:pPr>
        <w:pBdr>
          <w:top w:val="nil"/>
          <w:left w:val="nil"/>
          <w:bottom w:val="nil"/>
          <w:right w:val="nil"/>
          <w:between w:val="nil"/>
        </w:pBdr>
        <w:spacing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VAT costs.</w:t>
      </w:r>
      <w:r>
        <w:rPr>
          <w:rFonts w:ascii="Times New Roman" w:eastAsia="Times New Roman" w:hAnsi="Times New Roman" w:cs="Times New Roman"/>
          <w:color w:val="0D0D0D"/>
          <w:sz w:val="24"/>
          <w:szCs w:val="24"/>
        </w:rPr>
        <w:t> </w:t>
      </w:r>
    </w:p>
    <w:p w:rsidR="00B40F6A" w:rsidRDefault="00B40F6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Where to apply?</w:t>
      </w:r>
    </w:p>
    <w:p w:rsidR="00B40F6A" w:rsidRDefault="00B40F6A">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All proposals must be submitted electronically to email address info@zastone.ba with the email subject: </w:t>
      </w:r>
      <w:r>
        <w:rPr>
          <w:rFonts w:ascii="Times New Roman" w:eastAsia="Times New Roman" w:hAnsi="Times New Roman" w:cs="Times New Roman"/>
          <w:b/>
          <w:color w:val="0D0D0D"/>
          <w:sz w:val="24"/>
          <w:szCs w:val="24"/>
        </w:rPr>
        <w:t>'[Name of the Applicant] - SEE Check Network Project Application.'</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Proposals must be received by July 30, 2025. Late proposals, or proposals submitted by any means other than indicated will not be considered.</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p>
    <w:p w:rsidR="00B40F6A"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All proposals and related data, knowledge, and documents will be treated in accordance with the General Data Protection Regulation (GDPR) (Regulation (EU) 2016/679 of the European Parliament and of the Council of 27 April 2016).</w:t>
      </w:r>
    </w:p>
    <w:p w:rsidR="00B40F6A" w:rsidRDefault="00B40F6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p>
    <w:p w:rsidR="00B40F6A" w:rsidRPr="00050520" w:rsidRDefault="00AA3495">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 xml:space="preserve">All project related inquiries and questions can be forwarded to email address </w:t>
      </w:r>
      <w:hyperlink r:id="rId8">
        <w:r w:rsidRPr="00050520">
          <w:rPr>
            <w:rFonts w:ascii="Times New Roman" w:eastAsia="Times New Roman" w:hAnsi="Times New Roman" w:cs="Times New Roman"/>
            <w:color w:val="0D0D0D"/>
            <w:sz w:val="24"/>
            <w:szCs w:val="24"/>
          </w:rPr>
          <w:t>info@zastone.ba</w:t>
        </w:r>
      </w:hyperlink>
      <w:r w:rsidRPr="00050520">
        <w:rPr>
          <w:rFonts w:ascii="Times New Roman" w:eastAsia="Times New Roman" w:hAnsi="Times New Roman" w:cs="Times New Roman"/>
          <w:color w:val="0D0D0D"/>
          <w:sz w:val="24"/>
          <w:szCs w:val="24"/>
        </w:rPr>
        <w:t xml:space="preserve"> no later than July 20, 2025. </w:t>
      </w:r>
    </w:p>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Grant(s) implementation phases include the following:</w:t>
      </w:r>
    </w:p>
    <w:p w:rsidR="00B40F6A" w:rsidRDefault="00AA3495" w:rsidP="00050520">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50520">
        <w:rPr>
          <w:rFonts w:ascii="Times New Roman" w:eastAsia="Times New Roman" w:hAnsi="Times New Roman" w:cs="Times New Roman"/>
          <w:color w:val="000000"/>
          <w:sz w:val="24"/>
          <w:szCs w:val="24"/>
        </w:rPr>
        <w:t>The call for proposals remains open until July 30, 2025.</w:t>
      </w:r>
    </w:p>
    <w:p w:rsidR="00B40F6A" w:rsidRDefault="00AA3495">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committee comprising representatives from all SEE Check network members will evaluate proposals that meet the criteria and provide the required documentation.</w:t>
      </w:r>
    </w:p>
    <w:p w:rsidR="00B40F6A" w:rsidRPr="00050520" w:rsidRDefault="00AA3495">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50520">
        <w:rPr>
          <w:rFonts w:ascii="Times New Roman" w:eastAsia="Times New Roman" w:hAnsi="Times New Roman" w:cs="Times New Roman"/>
          <w:color w:val="000000"/>
          <w:sz w:val="24"/>
          <w:szCs w:val="24"/>
        </w:rPr>
        <w:t>All applicants will receive a notification regarding the status of their application in the first half of September, 2025.</w:t>
      </w:r>
    </w:p>
    <w:p w:rsidR="00B40F6A" w:rsidRDefault="00AA3495">
      <w:pPr>
        <w:numPr>
          <w:ilvl w:val="0"/>
          <w:numId w:val="1"/>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the implementation of the grants awarded under this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all, training and mentoring sessions will be conducted.</w:t>
      </w:r>
    </w:p>
    <w:p w:rsidR="00B40F6A" w:rsidRDefault="00AA3495">
      <w:pPr>
        <w:shd w:val="clear" w:color="auto" w:fill="FFFFFF"/>
        <w:spacing w:line="24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EVALUATION AND SELECTION PROCESS</w:t>
      </w:r>
    </w:p>
    <w:p w:rsidR="00B40F6A" w:rsidRDefault="00B40F6A">
      <w:pPr>
        <w:shd w:val="clear" w:color="auto" w:fill="FFFFFF"/>
        <w:spacing w:line="240" w:lineRule="auto"/>
        <w:jc w:val="both"/>
        <w:rPr>
          <w:rFonts w:ascii="Times New Roman" w:eastAsia="Times New Roman" w:hAnsi="Times New Roman" w:cs="Times New Roman"/>
          <w:sz w:val="24"/>
          <w:szCs w:val="24"/>
        </w:rPr>
      </w:pP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The evaluation and ranking of applications will be based on a set of criteria in addition to the above-mentioned eligibility conditions. The evaluation process is structured as follows:</w:t>
      </w:r>
    </w:p>
    <w:p w:rsidR="00B40F6A" w:rsidRDefault="00B40F6A">
      <w:pPr>
        <w:shd w:val="clear" w:color="auto" w:fill="FFFFFF"/>
        <w:spacing w:line="240" w:lineRule="auto"/>
        <w:jc w:val="both"/>
        <w:rPr>
          <w:rFonts w:ascii="Times New Roman" w:eastAsia="Times New Roman" w:hAnsi="Times New Roman" w:cs="Times New Roman"/>
          <w:sz w:val="24"/>
          <w:szCs w:val="24"/>
        </w:rPr>
      </w:pPr>
    </w:p>
    <w:p w:rsidR="00B40F6A" w:rsidRDefault="00AA3495">
      <w:pPr>
        <w:shd w:val="clear" w:color="auto" w:fill="FFFFFF"/>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b/>
          <w:color w:val="0D0D0D"/>
          <w:sz w:val="24"/>
          <w:szCs w:val="24"/>
        </w:rPr>
        <w:t>Eligibility check and formal requirements</w:t>
      </w:r>
    </w:p>
    <w:p w:rsidR="00B40F6A" w:rsidRDefault="00AA3495">
      <w:pPr>
        <w:shd w:val="clear" w:color="auto" w:fill="FFFFFF"/>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The SEE Check consortium, and namely CA WHY NOT (CAWN) as the contracting entity, will review each proposal for formal requirements, including:</w:t>
      </w:r>
    </w:p>
    <w:p w:rsidR="00B40F6A" w:rsidRDefault="00AA3495">
      <w:pPr>
        <w:numPr>
          <w:ilvl w:val="0"/>
          <w:numId w:val="2"/>
        </w:numPr>
        <w:pBdr>
          <w:top w:val="nil"/>
          <w:left w:val="nil"/>
          <w:bottom w:val="nil"/>
          <w:right w:val="nil"/>
          <w:between w:val="nil"/>
        </w:pBdr>
        <w:shd w:val="clear" w:color="auto" w:fill="FFFFFF"/>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Compliance with eligibility criteria</w:t>
      </w:r>
    </w:p>
    <w:p w:rsidR="00B40F6A" w:rsidRDefault="00AA3495">
      <w:pPr>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Completeness of the requested administrative, financial, and technical information.</w:t>
      </w:r>
    </w:p>
    <w:p w:rsidR="00B40F6A" w:rsidRDefault="00AA3495">
      <w:pPr>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Language of the application (English is mandatory).</w:t>
      </w:r>
    </w:p>
    <w:p w:rsidR="00B40F6A" w:rsidRDefault="00AA3495">
      <w:pPr>
        <w:numPr>
          <w:ilvl w:val="0"/>
          <w:numId w:val="2"/>
        </w:numPr>
        <w:pBdr>
          <w:top w:val="nil"/>
          <w:left w:val="nil"/>
          <w:bottom w:val="nil"/>
          <w:right w:val="nil"/>
          <w:between w:val="nil"/>
        </w:pBdr>
        <w:shd w:val="clear" w:color="auto" w:fill="FFFFFF"/>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Compliance with the submission process and deadline.</w:t>
      </w:r>
    </w:p>
    <w:p w:rsidR="00B40F6A" w:rsidRDefault="00AA3495">
      <w:pPr>
        <w:shd w:val="clear" w:color="auto" w:fill="FFFFFF"/>
        <w:spacing w:before="24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Applications that do not meet one or more mandatory requirements will be excluded from the selection phase. All applicants eliminated from the process after the eligibility check will be notified by email.</w:t>
      </w:r>
    </w:p>
    <w:p w:rsidR="00B40F6A" w:rsidRDefault="00AA3495">
      <w:pPr>
        <w:shd w:val="clear" w:color="auto" w:fill="FFFFFF"/>
        <w:spacing w:before="240" w:line="240" w:lineRule="auto"/>
        <w:jc w:val="both"/>
        <w:rPr>
          <w:rFonts w:ascii="Times New Roman" w:eastAsia="Times New Roman" w:hAnsi="Times New Roman" w:cs="Times New Roman"/>
          <w:color w:val="0D0D0D"/>
          <w:sz w:val="24"/>
          <w:szCs w:val="24"/>
        </w:rPr>
      </w:pPr>
      <w:r w:rsidRPr="00050520">
        <w:rPr>
          <w:rFonts w:ascii="Times New Roman" w:eastAsia="Times New Roman" w:hAnsi="Times New Roman" w:cs="Times New Roman"/>
          <w:color w:val="0D0D0D"/>
          <w:sz w:val="24"/>
          <w:szCs w:val="24"/>
        </w:rPr>
        <w:t xml:space="preserve">NOTE: </w:t>
      </w:r>
      <w:proofErr w:type="spellStart"/>
      <w:r w:rsidRPr="00050520">
        <w:rPr>
          <w:rFonts w:ascii="Times New Roman" w:eastAsia="Times New Roman" w:hAnsi="Times New Roman" w:cs="Times New Roman"/>
          <w:color w:val="0D0D0D"/>
          <w:sz w:val="24"/>
          <w:szCs w:val="24"/>
        </w:rPr>
        <w:t>Subgrantees</w:t>
      </w:r>
      <w:proofErr w:type="spellEnd"/>
      <w:r w:rsidRPr="00050520">
        <w:rPr>
          <w:rFonts w:ascii="Times New Roman" w:eastAsia="Times New Roman" w:hAnsi="Times New Roman" w:cs="Times New Roman"/>
          <w:color w:val="0D0D0D"/>
          <w:sz w:val="24"/>
          <w:szCs w:val="24"/>
        </w:rPr>
        <w:t xml:space="preserve"> from the first round may reapply only if their previous project is successfully closed.</w:t>
      </w:r>
    </w:p>
    <w:p w:rsidR="00B40F6A" w:rsidRDefault="00AA3495">
      <w:pPr>
        <w:shd w:val="clear" w:color="auto" w:fill="FFFFFF"/>
        <w:spacing w:before="240" w:line="240" w:lineRule="auto"/>
        <w:jc w:val="both"/>
        <w:rPr>
          <w:rFonts w:ascii="Times New Roman" w:eastAsia="Times New Roman" w:hAnsi="Times New Roman" w:cs="Times New Roman"/>
          <w:color w:val="0D0D0D"/>
          <w:sz w:val="24"/>
          <w:szCs w:val="24"/>
          <w:highlight w:val="yellow"/>
        </w:rPr>
      </w:pPr>
      <w:r>
        <w:rPr>
          <w:rFonts w:ascii="Times New Roman" w:eastAsia="Times New Roman" w:hAnsi="Times New Roman" w:cs="Times New Roman"/>
          <w:color w:val="0D0D0D"/>
          <w:sz w:val="24"/>
          <w:szCs w:val="24"/>
        </w:rPr>
        <w:lastRenderedPageBreak/>
        <w:br/>
      </w:r>
    </w:p>
    <w:p w:rsidR="00B40F6A" w:rsidRDefault="00AA3495">
      <w:pPr>
        <w:shd w:val="clear" w:color="auto" w:fill="FFFFFF"/>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r>
        <w:rPr>
          <w:rFonts w:ascii="Times New Roman" w:eastAsia="Times New Roman" w:hAnsi="Times New Roman" w:cs="Times New Roman"/>
          <w:b/>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b/>
          <w:color w:val="0D0D0D"/>
          <w:sz w:val="24"/>
          <w:szCs w:val="24"/>
        </w:rPr>
        <w:t>Preliminary assessment by CAWN</w:t>
      </w:r>
    </w:p>
    <w:p w:rsidR="00B40F6A" w:rsidRDefault="00AA3495">
      <w:pPr>
        <w:shd w:val="clear" w:color="auto" w:fill="FFFFFF"/>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If the proposals are eligible and complete, the CAWN team will proceed with an initial assessment. The preliminary quality criteria will focus on the compliance of the proposals with the call objectives.</w:t>
      </w:r>
    </w:p>
    <w:p w:rsidR="00B40F6A" w:rsidRDefault="00AA3495">
      <w:pPr>
        <w:shd w:val="clear" w:color="auto" w:fill="FFFFFF"/>
        <w:spacing w:before="240" w:after="240" w:line="24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All applicants eliminated from the process after the preliminary assessment will be notified by email at the end of the call evaluation process.</w:t>
      </w:r>
    </w:p>
    <w:p w:rsidR="00B40F6A" w:rsidRDefault="00AA3495">
      <w:pPr>
        <w:shd w:val="clear" w:color="auto" w:fill="FFFFFF"/>
        <w:spacing w:before="240" w:after="240" w:line="24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r>
        <w:rPr>
          <w:rFonts w:ascii="Times New Roman" w:eastAsia="Times New Roman" w:hAnsi="Times New Roman" w:cs="Times New Roman"/>
          <w:b/>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b/>
          <w:color w:val="0D0D0D"/>
          <w:sz w:val="24"/>
          <w:szCs w:val="24"/>
        </w:rPr>
        <w:t>Final</w:t>
      </w: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b/>
          <w:color w:val="0D0D0D"/>
          <w:sz w:val="24"/>
          <w:szCs w:val="24"/>
        </w:rPr>
        <w:t>evaluation</w:t>
      </w:r>
    </w:p>
    <w:p w:rsidR="00B40F6A" w:rsidRDefault="00AA3495">
      <w:pPr>
        <w:shd w:val="clear" w:color="auto" w:fill="FFFFFF"/>
        <w:spacing w:before="24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 Each proposal that passes the preliminary assessment will be evaluated by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consortium, which includes representatives from each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member organization, according to the awarding criteria listed below. The evaluation process will begin with an individual assessment, carried out independently by each consortium member of the evaluation panel.</w:t>
      </w:r>
    </w:p>
    <w:p w:rsidR="00B40F6A" w:rsidRDefault="00B40F6A">
      <w:pPr>
        <w:shd w:val="clear" w:color="auto" w:fill="FFFFFF"/>
        <w:spacing w:before="240" w:line="240" w:lineRule="auto"/>
        <w:jc w:val="both"/>
        <w:rPr>
          <w:rFonts w:ascii="Times New Roman" w:eastAsia="Times New Roman" w:hAnsi="Times New Roman" w:cs="Times New Roman"/>
          <w:color w:val="0D0D0D"/>
          <w:sz w:val="24"/>
          <w:szCs w:val="24"/>
        </w:rPr>
      </w:pPr>
    </w:p>
    <w:p w:rsidR="00B40F6A" w:rsidRDefault="00AA3495">
      <w:pPr>
        <w:shd w:val="clear" w:color="auto" w:fill="FFFFFF"/>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The proposals receiving the highest rankings after the final evaluation will be selected. All applicants undergoing the final evaluation will be informed of their evaluation ranking and results via email, including an evaluation summary.</w:t>
      </w:r>
    </w:p>
    <w:p w:rsidR="00B40F6A" w:rsidRDefault="00AA3495">
      <w:pPr>
        <w:shd w:val="clear" w:color="auto" w:fill="FFFFFF"/>
        <w:spacing w:before="240" w:after="240" w:line="24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r>
        <w:rPr>
          <w:rFonts w:ascii="Times New Roman" w:eastAsia="Times New Roman" w:hAnsi="Times New Roman" w:cs="Times New Roman"/>
          <w:b/>
          <w:color w:val="0D0D0D"/>
          <w:sz w:val="24"/>
          <w:szCs w:val="24"/>
        </w:rPr>
        <w:t>Evaluation</w:t>
      </w: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b/>
          <w:color w:val="0D0D0D"/>
          <w:sz w:val="24"/>
          <w:szCs w:val="24"/>
        </w:rPr>
        <w:t>criteria</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xml:space="preserve">The proposals selected for funding must demonstrate high quality in the context and meet the specific criteria set out for the call. Evaluation criteria, assessed by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consortium panelists, will consider all three sections described. The evaluation criteria are outlined in the table below.</w:t>
      </w:r>
    </w:p>
    <w:p w:rsidR="00B40F6A" w:rsidRDefault="00AA3495">
      <w:pPr>
        <w:shd w:val="clear" w:color="auto" w:fill="FFFFFF"/>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tbl>
      <w:tblPr>
        <w:tblStyle w:val="a"/>
        <w:tblW w:w="9344" w:type="dxa"/>
        <w:tblLayout w:type="fixed"/>
        <w:tblLook w:val="0400"/>
      </w:tblPr>
      <w:tblGrid>
        <w:gridCol w:w="2669"/>
        <w:gridCol w:w="6675"/>
      </w:tblGrid>
      <w:tr w:rsidR="00B40F6A">
        <w:trPr>
          <w:trHeight w:val="300"/>
        </w:trPr>
        <w:tc>
          <w:tcPr>
            <w:tcW w:w="2669"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Section</w:t>
            </w:r>
          </w:p>
        </w:tc>
        <w:tc>
          <w:tcPr>
            <w:tcW w:w="66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Evaluation criteria</w:t>
            </w:r>
          </w:p>
        </w:tc>
      </w:tr>
      <w:tr w:rsidR="00B40F6A">
        <w:trPr>
          <w:trHeight w:val="1140"/>
        </w:trPr>
        <w:tc>
          <w:tcPr>
            <w:tcW w:w="2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Objectives, needs and approach</w:t>
            </w:r>
          </w:p>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[Excellence]</w:t>
            </w:r>
          </w:p>
        </w:tc>
        <w:tc>
          <w:tcPr>
            <w:tcW w:w="6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40F6A" w:rsidRDefault="00AA3495">
            <w:pPr>
              <w:numPr>
                <w:ilvl w:val="0"/>
                <w:numId w:val="3"/>
              </w:num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Clarity of the project’s objectives.</w:t>
            </w:r>
          </w:p>
          <w:p w:rsidR="00B40F6A" w:rsidRDefault="00AA3495">
            <w:pPr>
              <w:numPr>
                <w:ilvl w:val="0"/>
                <w:numId w:val="3"/>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Pertinence of the project’s objectives to the call requirements.</w:t>
            </w:r>
          </w:p>
        </w:tc>
      </w:tr>
      <w:tr w:rsidR="00B40F6A">
        <w:trPr>
          <w:trHeight w:val="825"/>
        </w:trPr>
        <w:tc>
          <w:tcPr>
            <w:tcW w:w="2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Changes to be achieved</w:t>
            </w:r>
          </w:p>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[Impact]</w:t>
            </w:r>
          </w:p>
        </w:tc>
        <w:tc>
          <w:tcPr>
            <w:tcW w:w="6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40F6A" w:rsidRDefault="00AA3495">
            <w:pPr>
              <w:numPr>
                <w:ilvl w:val="0"/>
                <w:numId w:val="3"/>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Expected changes benefitting the organization(s) involved, the territory, and society at large</w:t>
            </w:r>
          </w:p>
        </w:tc>
      </w:tr>
      <w:tr w:rsidR="00B40F6A">
        <w:trPr>
          <w:trHeight w:val="825"/>
        </w:trPr>
        <w:tc>
          <w:tcPr>
            <w:tcW w:w="2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lastRenderedPageBreak/>
              <w:t>Activities</w:t>
            </w:r>
          </w:p>
          <w:p w:rsidR="00B40F6A" w:rsidRDefault="00AA349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[Implementation]</w:t>
            </w:r>
          </w:p>
        </w:tc>
        <w:tc>
          <w:tcPr>
            <w:tcW w:w="6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40F6A" w:rsidRDefault="00AA3495">
            <w:pPr>
              <w:numPr>
                <w:ilvl w:val="0"/>
                <w:numId w:val="3"/>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Quality and consistency of the actions in relation to the project objectives.</w:t>
            </w:r>
          </w:p>
        </w:tc>
      </w:tr>
    </w:tbl>
    <w:p w:rsidR="00B40F6A" w:rsidRDefault="00AA3495">
      <w:pPr>
        <w:shd w:val="clear" w:color="auto" w:fill="FFFFFF"/>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Scoring system</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For the evaluation, each section will be scored from 0 to 5 as follows:</w:t>
      </w:r>
    </w:p>
    <w:p w:rsidR="00B40F6A" w:rsidRDefault="00AA3495">
      <w:pPr>
        <w:numPr>
          <w:ilvl w:val="0"/>
          <w:numId w:val="4"/>
        </w:numPr>
        <w:pBdr>
          <w:top w:val="nil"/>
          <w:left w:val="nil"/>
          <w:bottom w:val="nil"/>
          <w:right w:val="nil"/>
          <w:between w:val="nil"/>
        </w:pBdr>
        <w:shd w:val="clear" w:color="auto" w:fill="FFFFFF"/>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0 Not acceptable;</w:t>
      </w:r>
    </w:p>
    <w:p w:rsidR="00B40F6A" w:rsidRDefault="00AA3495">
      <w:pPr>
        <w:numPr>
          <w:ilvl w:val="0"/>
          <w:numId w:val="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1 Poor: The criteria in the section are addressed inadequately, or there are serious inherent weaknesses;</w:t>
      </w:r>
    </w:p>
    <w:p w:rsidR="00B40F6A" w:rsidRDefault="00AA3495">
      <w:pPr>
        <w:numPr>
          <w:ilvl w:val="0"/>
          <w:numId w:val="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2 Fair: The proposal broadly addresses the criteria in the section, but there are significant weaknesses;</w:t>
      </w:r>
    </w:p>
    <w:p w:rsidR="00B40F6A" w:rsidRDefault="00AA3495">
      <w:pPr>
        <w:numPr>
          <w:ilvl w:val="0"/>
          <w:numId w:val="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3 Good: The proposal addresses the criteria in the section well, although improvements are necessary;</w:t>
      </w:r>
    </w:p>
    <w:p w:rsidR="00B40F6A" w:rsidRDefault="00AA3495">
      <w:pPr>
        <w:numPr>
          <w:ilvl w:val="0"/>
          <w:numId w:val="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4 Very good: The proposal addresses the criteria in the section very well, although certain improvements are still possible;</w:t>
      </w:r>
    </w:p>
    <w:p w:rsidR="00B40F6A" w:rsidRDefault="00AA3495">
      <w:pPr>
        <w:numPr>
          <w:ilvl w:val="0"/>
          <w:numId w:val="4"/>
        </w:numPr>
        <w:pBdr>
          <w:top w:val="nil"/>
          <w:left w:val="nil"/>
          <w:bottom w:val="nil"/>
          <w:right w:val="nil"/>
          <w:between w:val="nil"/>
        </w:pBdr>
        <w:shd w:val="clear" w:color="auto" w:fill="FFFFFF"/>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5 Excellent: The proposal successfully addresses all relevant aspects of the section. Any shortcomings are minor.</w:t>
      </w:r>
    </w:p>
    <w:p w:rsidR="00B40F6A" w:rsidRDefault="00AA3495">
      <w:pPr>
        <w:shd w:val="clear" w:color="auto" w:fill="FFFFFF"/>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The average score for each section will be calculated from all reviewer evaluations. The average score for any section must be at least 3. If a criterion is rated below an average of 3, the application will be immediately excluded from funding. The sum of these averaged scores results in the total evaluation score for each project. The highest achievable total evaluation score is 15, and the minimum score for a project to be funded is 9.</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Proposals obtaining a score of 9 or more will be ranked, and the highest-ranking proposals will be selected until the funds for the call are exhausted. Diversity, equity, and inclusion will be considered as ranking criteria for proposals with equal scores. In some cases, diversity may be the leading principle driving the selection of projects, aiming to achieve a balanced list of selected projects in terms of geography, types of stakeholders involved, issues addressed, and gender.</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Disclaimer on the selection process</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All submitted proposals will be treated equally and evaluated impartially based on their merits, regardless of their origin or the identity of the applicants. The evaluation procedure will be clear and transparent for applicants; the evaluation ranking and results will be made available to each applicant through an Evaluation Summary Report.</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Contractual arrangements and general payment terms</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xml:space="preserve">Once the evaluation process is concluded, each selected proposal will be invited to sign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Sub-Grant Agreement with the Consortium (represented by CAWN for the purposes of signature). The funds awarded under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Sub-Grant Agreement come directly from </w:t>
      </w:r>
      <w:r>
        <w:rPr>
          <w:rFonts w:ascii="Times New Roman" w:eastAsia="Times New Roman" w:hAnsi="Times New Roman" w:cs="Times New Roman"/>
          <w:color w:val="0D0D0D"/>
          <w:sz w:val="24"/>
          <w:szCs w:val="24"/>
        </w:rPr>
        <w:lastRenderedPageBreak/>
        <w:t xml:space="preserve">the European Commission-funded project and are, therefore, owned by the European Commission. Management of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project funds has been transferred to the project partners via Grant Agreement Number IPA/2022/440-985, signed with the European Commission. All beneficiaries of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project financial support must comply with contractual obligations including:</w:t>
      </w:r>
    </w:p>
    <w:p w:rsidR="00B40F6A" w:rsidRDefault="00AA3495">
      <w:pPr>
        <w:shd w:val="clear" w:color="auto" w:fill="FFFFFF"/>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numPr>
          <w:ilvl w:val="0"/>
          <w:numId w:val="5"/>
        </w:numPr>
        <w:pBdr>
          <w:top w:val="nil"/>
          <w:left w:val="nil"/>
          <w:bottom w:val="nil"/>
          <w:right w:val="nil"/>
          <w:between w:val="nil"/>
        </w:pBdr>
        <w:shd w:val="clear" w:color="auto" w:fill="FFFFFF"/>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Avoiding conflicts of interest:</w:t>
      </w:r>
      <w:r>
        <w:rPr>
          <w:rFonts w:ascii="Times New Roman" w:eastAsia="Times New Roman" w:hAnsi="Times New Roman" w:cs="Times New Roman"/>
          <w:color w:val="0D0D0D"/>
          <w:sz w:val="24"/>
          <w:szCs w:val="24"/>
        </w:rPr>
        <w:t xml:space="preserve"> The beneficiaries must take all measures to prevent any situation where the impartial and objective implementation of the Sub-Grant Agreement could be compromised for reasons involving family, emotional life, political or national affinity, economic interest or any other direct or indirect interest (‘conflict of interests').</w:t>
      </w:r>
    </w:p>
    <w:p w:rsidR="00B40F6A" w:rsidRDefault="00AA3495">
      <w:pPr>
        <w:numPr>
          <w:ilvl w:val="0"/>
          <w:numId w:val="5"/>
        </w:numPr>
        <w:pBdr>
          <w:top w:val="nil"/>
          <w:left w:val="nil"/>
          <w:bottom w:val="nil"/>
          <w:right w:val="nil"/>
          <w:between w:val="nil"/>
        </w:pBdr>
        <w:shd w:val="clear" w:color="auto" w:fill="FFFFFF"/>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Confidentiality obligations:</w:t>
      </w:r>
      <w:r>
        <w:rPr>
          <w:rFonts w:ascii="Times New Roman" w:eastAsia="Times New Roman" w:hAnsi="Times New Roman" w:cs="Times New Roman"/>
          <w:color w:val="0D0D0D"/>
          <w:sz w:val="24"/>
          <w:szCs w:val="24"/>
        </w:rPr>
        <w:t xml:space="preserve"> The parties must keep confidential any data, documents, or other material (in any form) that is identified as sensitive in writing (‘sensitive information’) during the implementation of the action and for at least five years after the final payment.  If a beneficiary requests, the SEE Check Network may agree to keep such information confidential for a longer period. Unless otherwise agreed between the parties, sensitive information may only be used to implement the Sub-Grant Agreement. The SEE Check Network may disclose sensitive information to its staff and to other EU institutions and bodies. It may also disclose sensitive information, if:</w:t>
      </w:r>
    </w:p>
    <w:p w:rsidR="00B40F6A" w:rsidRDefault="00AA3495">
      <w:pPr>
        <w:shd w:val="clear" w:color="auto" w:fill="FFFFFF"/>
        <w:spacing w:before="240" w:line="240" w:lineRule="auto"/>
        <w:ind w:left="38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This is necessary to implement the Sub-Grant Agreement or safeguard the EU’s financial interests.</w:t>
      </w:r>
    </w:p>
    <w:p w:rsidR="00B40F6A" w:rsidRDefault="00AA3495">
      <w:pPr>
        <w:shd w:val="clear" w:color="auto" w:fill="FFFFFF"/>
        <w:spacing w:after="240" w:line="240" w:lineRule="auto"/>
        <w:ind w:left="38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b)</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 recipients of the information are bound by an obligation of confidentiality</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The confidentiality obligations no longer apply if:</w:t>
      </w:r>
    </w:p>
    <w:p w:rsidR="00B40F6A" w:rsidRDefault="00AA3495">
      <w:pPr>
        <w:shd w:val="clear" w:color="auto" w:fill="FFFFFF"/>
        <w:spacing w:before="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 disclosing party agrees to release the other party.</w:t>
      </w:r>
    </w:p>
    <w:p w:rsidR="00B40F6A" w:rsidRDefault="00AA3495">
      <w:pPr>
        <w:shd w:val="clear" w:color="auto" w:fill="FFFFFF"/>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b)</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 information becomes publicly available without breaching any confidentiality obligation.</w:t>
      </w:r>
    </w:p>
    <w:p w:rsidR="00B40F6A" w:rsidRDefault="00AA3495">
      <w:pPr>
        <w:shd w:val="clear" w:color="auto" w:fill="FFFFFF"/>
        <w:spacing w:after="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c)</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24"/>
          <w:szCs w:val="24"/>
        </w:rPr>
        <w:t>The disclosure of the sensitive information is required by EU, international, or national law.</w:t>
      </w:r>
    </w:p>
    <w:p w:rsidR="00B40F6A" w:rsidRDefault="00AA3495">
      <w:pPr>
        <w:numPr>
          <w:ilvl w:val="0"/>
          <w:numId w:val="6"/>
        </w:numPr>
        <w:pBdr>
          <w:top w:val="nil"/>
          <w:left w:val="nil"/>
          <w:bottom w:val="nil"/>
          <w:right w:val="nil"/>
          <w:between w:val="nil"/>
        </w:pBdr>
        <w:shd w:val="clear" w:color="auto" w:fill="FFFFFF"/>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Ethics:</w:t>
      </w:r>
      <w:r>
        <w:rPr>
          <w:rFonts w:ascii="Times New Roman" w:eastAsia="Times New Roman" w:hAnsi="Times New Roman" w:cs="Times New Roman"/>
          <w:color w:val="0D0D0D"/>
          <w:sz w:val="24"/>
          <w:szCs w:val="24"/>
        </w:rPr>
        <w:t xml:space="preserve"> The granted action must be carried out in line with the highest ethical standards and the applicable EU, international, and national laws on ethical principles.</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b/>
          <w:color w:val="0D0D0D"/>
          <w:sz w:val="24"/>
          <w:szCs w:val="24"/>
        </w:rPr>
        <w:t>Ensuring gender equality:</w:t>
      </w:r>
      <w:r>
        <w:rPr>
          <w:rFonts w:ascii="Times New Roman" w:eastAsia="Times New Roman" w:hAnsi="Times New Roman" w:cs="Times New Roman"/>
          <w:color w:val="0D0D0D"/>
          <w:sz w:val="24"/>
          <w:szCs w:val="24"/>
        </w:rPr>
        <w:t xml:space="preserve"> Applicants are encouraged to take all measures to promote equal opportunities between genders in the implementation of the action. They must aim for gender balance at all levels of personnel assigned to the action, including supervisory and managerial levels, to the extent possible.</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Give visibility to the EU funding:</w:t>
      </w:r>
      <w:r>
        <w:rPr>
          <w:rFonts w:ascii="Times New Roman" w:eastAsia="Times New Roman" w:hAnsi="Times New Roman" w:cs="Times New Roman"/>
          <w:color w:val="0D0D0D"/>
          <w:sz w:val="24"/>
          <w:szCs w:val="24"/>
        </w:rPr>
        <w:t xml:space="preserve"> Unless otherwise agreed with the contracting entity, all communication activities related to the action by the beneficiaries (including media relations, conferences, </w:t>
      </w:r>
      <w:proofErr w:type="gramStart"/>
      <w:r>
        <w:rPr>
          <w:rFonts w:ascii="Times New Roman" w:eastAsia="Times New Roman" w:hAnsi="Times New Roman" w:cs="Times New Roman"/>
          <w:color w:val="0D0D0D"/>
          <w:sz w:val="24"/>
          <w:szCs w:val="24"/>
        </w:rPr>
        <w:t>seminars</w:t>
      </w:r>
      <w:proofErr w:type="gramEnd"/>
      <w:r>
        <w:rPr>
          <w:rFonts w:ascii="Times New Roman" w:eastAsia="Times New Roman" w:hAnsi="Times New Roman" w:cs="Times New Roman"/>
          <w:color w:val="0D0D0D"/>
          <w:sz w:val="24"/>
          <w:szCs w:val="24"/>
        </w:rPr>
        <w:t>, information materials such as brochures, leaflets, posters, and presentations, in electronic form, traditional media, or social media) must acknowledge EU support. This includes dissemination activities and any infrastructure, equipment, vehicles, supplies, or major results funded by the grant. All materials and activities must display the European flag (emblem) and include the funding statement, translated into local languages where appropriate:</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lastRenderedPageBreak/>
        <w:t xml:space="preserve">The emblem must remain distinct and separate and cannot be modified by adding other visual marks, brands, or text. When displayed alongside other logos (e.g., those of beneficiaries or sponsors), the emblem must be at least as prominent and visible as the other logos. Additionally, for dissemination and use of results generated through financial support from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Network, recipients must credit the SEE Check project by including the SEE Check logo and the EU logo, along with proper citation.</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Ensuring Intellectual Property Rights (IPR):</w:t>
      </w:r>
      <w:r>
        <w:rPr>
          <w:rFonts w:ascii="Times New Roman" w:eastAsia="Times New Roman" w:hAnsi="Times New Roman" w:cs="Times New Roman"/>
          <w:color w:val="0D0D0D"/>
          <w:sz w:val="24"/>
          <w:szCs w:val="24"/>
        </w:rPr>
        <w:t xml:space="preserve"> Ownership of IPR created by beneficiaries using SEE Check project funding will remain with the beneficiaries, who will be the sole owners of any IP resulting from their funded projects. Beneficiaries are advised to establish internal agreements concerning IPR and the use and dissemination of results generated through funding from the SEE Check project.</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Providing additional information</w:t>
      </w:r>
      <w:r>
        <w:rPr>
          <w:rFonts w:ascii="Times New Roman" w:eastAsia="Times New Roman" w:hAnsi="Times New Roman" w:cs="Times New Roman"/>
          <w:color w:val="0D0D0D"/>
          <w:sz w:val="24"/>
          <w:szCs w:val="24"/>
        </w:rPr>
        <w:t xml:space="preserve"> without any delays: Beneficiaries must promptly provide any additional information requested during or after the action to verify the eligibility of declared costs or contributions, ensure proper implementation, and comply with other obligations under the Sub-Grant Agreement. The information provided must be accurate, precise, complete, and in the requested format, including electronic format.</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Keeping the data updated:</w:t>
      </w:r>
      <w:r>
        <w:rPr>
          <w:rFonts w:ascii="Times New Roman" w:eastAsia="Times New Roman" w:hAnsi="Times New Roman" w:cs="Times New Roman"/>
          <w:color w:val="0D0D0D"/>
          <w:sz w:val="24"/>
          <w:szCs w:val="24"/>
        </w:rPr>
        <w:t xml:space="preserve"> Beneficiaries must ensure that their information stored by the </w:t>
      </w:r>
      <w:proofErr w:type="spellStart"/>
      <w:r>
        <w:rPr>
          <w:rFonts w:ascii="Times New Roman" w:eastAsia="Times New Roman" w:hAnsi="Times New Roman" w:cs="Times New Roman"/>
          <w:color w:val="0D0D0D"/>
          <w:sz w:val="24"/>
          <w:szCs w:val="24"/>
        </w:rPr>
        <w:t>SEECheck</w:t>
      </w:r>
      <w:proofErr w:type="spellEnd"/>
      <w:r>
        <w:rPr>
          <w:rFonts w:ascii="Times New Roman" w:eastAsia="Times New Roman" w:hAnsi="Times New Roman" w:cs="Times New Roman"/>
          <w:color w:val="0D0D0D"/>
          <w:sz w:val="24"/>
          <w:szCs w:val="24"/>
        </w:rPr>
        <w:t xml:space="preserve"> Network is kept up to date at all times, both during and after the action. This includes maintaining current details such as their name, address, legal representatives, legal form, and organization type.</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Communicating information about events and circumstances which impact the action</w:t>
      </w:r>
      <w:r>
        <w:rPr>
          <w:rFonts w:ascii="Times New Roman" w:eastAsia="Times New Roman" w:hAnsi="Times New Roman" w:cs="Times New Roman"/>
          <w:color w:val="0D0D0D"/>
          <w:sz w:val="24"/>
          <w:szCs w:val="24"/>
        </w:rPr>
        <w:t>: The beneficiaries must immediately inform the contracting entity (and the other beneficiaries) of any of the following:</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Events likely to affect or delay the implementation of the action or impact the EU’s financial interests, particularly changes in their legal, financial, technical, organizational, or ownership situation (including changes related to the exclusion grounds listed in the declaration of honor signed before the grant signature).</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sz w:val="24"/>
          <w:szCs w:val="24"/>
        </w:rPr>
        <w:t>Circumstances that affect the decision to award the grant or compliance with the requirements under the Agreement.</w:t>
      </w:r>
    </w:p>
    <w:p w:rsidR="00B40F6A" w:rsidRDefault="00AA3495">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Record-keeping and supporting documents:</w:t>
      </w:r>
      <w:r>
        <w:rPr>
          <w:rFonts w:ascii="Times New Roman" w:eastAsia="Times New Roman" w:hAnsi="Times New Roman" w:cs="Times New Roman"/>
          <w:color w:val="0D0D0D"/>
          <w:sz w:val="24"/>
          <w:szCs w:val="24"/>
        </w:rPr>
        <w:t xml:space="preserve"> Beneficiaries must retain records and supporting documents for at least three years after the final payment to demonstrate proper implementation of the action in accordance with accepted standards in the respective field (if any). Additionally, beneficiaries must maintain adequate records to show that their cost accounting practices are applied consistently based on objective criteria, regardless of the funding source, and comply with eligibility conditions.</w:t>
      </w:r>
    </w:p>
    <w:p w:rsidR="00B40F6A" w:rsidRDefault="00AA3495">
      <w:pPr>
        <w:numPr>
          <w:ilvl w:val="0"/>
          <w:numId w:val="6"/>
        </w:numPr>
        <w:pBdr>
          <w:top w:val="nil"/>
          <w:left w:val="nil"/>
          <w:bottom w:val="nil"/>
          <w:right w:val="nil"/>
          <w:between w:val="nil"/>
        </w:pBdr>
        <w:shd w:val="clear" w:color="auto" w:fill="FFFFFF"/>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Consequences of non-compliance</w:t>
      </w:r>
    </w:p>
    <w:p w:rsidR="00B40F6A" w:rsidRDefault="00AA3495">
      <w:pPr>
        <w:shd w:val="clear" w:color="auto" w:fill="FFFFFF"/>
        <w:spacing w:before="240" w:line="24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xml:space="preserve"> If a beneficiary fails to meet any obligations related to the action, the grant may be reduced or terminated. </w:t>
      </w:r>
    </w:p>
    <w:p w:rsidR="00B40F6A" w:rsidRDefault="00AA3495">
      <w:pPr>
        <w:shd w:val="clear" w:color="auto" w:fill="FFFFFF"/>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Reporting and payment of the funds</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xml:space="preserve">Each grantee will be asked to complete a Progress Report, detailing justifications of expenses, </w:t>
      </w:r>
      <w:proofErr w:type="gramStart"/>
      <w:r>
        <w:rPr>
          <w:rFonts w:ascii="Times New Roman" w:eastAsia="Times New Roman" w:hAnsi="Times New Roman" w:cs="Times New Roman"/>
          <w:color w:val="0D0D0D"/>
          <w:sz w:val="24"/>
          <w:szCs w:val="24"/>
        </w:rPr>
        <w:t>precise</w:t>
      </w:r>
      <w:proofErr w:type="gramEnd"/>
      <w:r>
        <w:rPr>
          <w:rFonts w:ascii="Times New Roman" w:eastAsia="Times New Roman" w:hAnsi="Times New Roman" w:cs="Times New Roman"/>
          <w:color w:val="0D0D0D"/>
          <w:sz w:val="24"/>
          <w:szCs w:val="24"/>
        </w:rPr>
        <w:t xml:space="preserve"> descriptions of the actions implemented, the problems encountered, and the solutions adopted. These reports will allow monitoring of the grants, ensuring that funds are being used according to the plan and, at the same time, collecting information on the impact of SEE Check project grants. A template will be provided and made available to all beneficiaries. Two progress reports are required for each grant: a mid-term and a final report, due to the project duration. </w:t>
      </w:r>
      <w:r>
        <w:rPr>
          <w:rFonts w:ascii="Times New Roman" w:eastAsia="Times New Roman" w:hAnsi="Times New Roman" w:cs="Times New Roman"/>
          <w:color w:val="0D0D0D"/>
          <w:sz w:val="24"/>
          <w:szCs w:val="24"/>
        </w:rPr>
        <w:lastRenderedPageBreak/>
        <w:t>Funds will be disbursed in two installments: 50% at the project's start and 50% upon validation of Progress Reports. This payment structure aims to prevent misuse of funds.</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 </w:t>
      </w:r>
    </w:p>
    <w:p w:rsidR="00B40F6A" w:rsidRDefault="00AA3495">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Submission of final reports</w:t>
      </w:r>
    </w:p>
    <w:p w:rsidR="00B40F6A" w:rsidRDefault="00AA34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subgrantee</w:t>
      </w:r>
      <w:proofErr w:type="spellEnd"/>
      <w:r>
        <w:rPr>
          <w:rFonts w:ascii="Times New Roman" w:eastAsia="Times New Roman" w:hAnsi="Times New Roman" w:cs="Times New Roman"/>
          <w:color w:val="000000"/>
          <w:sz w:val="24"/>
          <w:szCs w:val="24"/>
        </w:rPr>
        <w:t xml:space="preserve"> must submit the final report to the contracting authority no later than 15 days after the implementation period ends.</w:t>
      </w:r>
    </w:p>
    <w:p w:rsidR="00B40F6A" w:rsidRDefault="00AA34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any information not addressed in this call, the rules outlined in the document "ANNEX II, General conditions applicable to European Union-financed grant contracts for external actions" will apply.</w:t>
      </w:r>
    </w:p>
    <w:p w:rsidR="00B40F6A" w:rsidRDefault="00AA34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lang w:val="en-US" w:eastAsia="ja-JP"/>
        </w:rPr>
        <w:drawing>
          <wp:anchor distT="0" distB="0" distL="114300" distR="114300" simplePos="0" relativeHeight="251658240" behindDoc="0" locked="0" layoutInCell="1" allowOverlap="1">
            <wp:simplePos x="0" y="0"/>
            <wp:positionH relativeFrom="column">
              <wp:posOffset>1</wp:posOffset>
            </wp:positionH>
            <wp:positionV relativeFrom="paragraph">
              <wp:posOffset>146685</wp:posOffset>
            </wp:positionV>
            <wp:extent cx="1428750" cy="962025"/>
            <wp:effectExtent l="0" t="0" r="0" b="0"/>
            <wp:wrapSquare wrapText="bothSides" distT="0" distB="0" distL="114300" distR="114300"/>
            <wp:docPr id="4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cstate="print"/>
                    <a:srcRect/>
                    <a:stretch>
                      <a:fillRect/>
                    </a:stretch>
                  </pic:blipFill>
                  <pic:spPr>
                    <a:xfrm>
                      <a:off x="0" y="0"/>
                      <a:ext cx="1428750" cy="962025"/>
                    </a:xfrm>
                    <a:prstGeom prst="rect">
                      <a:avLst/>
                    </a:prstGeom>
                    <a:ln/>
                  </pic:spPr>
                </pic:pic>
              </a:graphicData>
            </a:graphic>
          </wp:anchor>
        </w:drawing>
      </w:r>
    </w:p>
    <w:p w:rsidR="00B40F6A" w:rsidRDefault="00AA3495">
      <w:pPr>
        <w:jc w:val="both"/>
        <w:rPr>
          <w:rFonts w:ascii="Times New Roman" w:eastAsia="Times New Roman" w:hAnsi="Times New Roman" w:cs="Times New Roman"/>
          <w:sz w:val="24"/>
          <w:szCs w:val="24"/>
        </w:rPr>
      </w:pPr>
      <w:bookmarkStart w:id="1" w:name="_heading=h.rqj9a2m5zrpc" w:colFirst="0" w:colLast="0"/>
      <w:bookmarkEnd w:id="1"/>
      <w:r>
        <w:rPr>
          <w:rFonts w:ascii="Times New Roman" w:eastAsia="Times New Roman" w:hAnsi="Times New Roman" w:cs="Times New Roman"/>
          <w:sz w:val="24"/>
          <w:szCs w:val="24"/>
        </w:rPr>
        <w:t>The regional project "</w:t>
      </w:r>
      <w:proofErr w:type="spellStart"/>
      <w:r>
        <w:rPr>
          <w:rFonts w:ascii="Times New Roman" w:eastAsia="Times New Roman" w:hAnsi="Times New Roman" w:cs="Times New Roman"/>
          <w:sz w:val="24"/>
          <w:szCs w:val="24"/>
        </w:rPr>
        <w:t>SEECheck</w:t>
      </w:r>
      <w:proofErr w:type="spellEnd"/>
      <w:r>
        <w:rPr>
          <w:rFonts w:ascii="Times New Roman" w:eastAsia="Times New Roman" w:hAnsi="Times New Roman" w:cs="Times New Roman"/>
          <w:sz w:val="24"/>
          <w:szCs w:val="24"/>
        </w:rPr>
        <w:t xml:space="preserve"> Network – Fighting Disinformation and Misinformation through a Network of Fact-checkers" is implemented by </w:t>
      </w:r>
      <w:proofErr w:type="spellStart"/>
      <w:r>
        <w:rPr>
          <w:rFonts w:ascii="Times New Roman" w:eastAsia="Times New Roman" w:hAnsi="Times New Roman" w:cs="Times New Roman"/>
          <w:sz w:val="24"/>
          <w:szCs w:val="24"/>
        </w:rPr>
        <w:t>SEECheck</w:t>
      </w:r>
      <w:proofErr w:type="spellEnd"/>
      <w:r>
        <w:rPr>
          <w:rFonts w:ascii="Times New Roman" w:eastAsia="Times New Roman" w:hAnsi="Times New Roman" w:cs="Times New Roman"/>
          <w:sz w:val="24"/>
          <w:szCs w:val="24"/>
        </w:rPr>
        <w:t xml:space="preserve"> Network with the support of the European Union. </w:t>
      </w:r>
    </w:p>
    <w:sectPr w:rsidR="00B40F6A" w:rsidSect="003A46DE">
      <w:headerReference w:type="default" r:id="rId10"/>
      <w:pgSz w:w="12240" w:h="15840"/>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92" w:rsidRDefault="00F61D92">
      <w:pPr>
        <w:spacing w:line="240" w:lineRule="auto"/>
      </w:pPr>
      <w:r>
        <w:separator/>
      </w:r>
    </w:p>
  </w:endnote>
  <w:endnote w:type="continuationSeparator" w:id="0">
    <w:p w:rsidR="00F61D92" w:rsidRDefault="00F61D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92" w:rsidRDefault="00F61D92">
      <w:pPr>
        <w:spacing w:line="240" w:lineRule="auto"/>
      </w:pPr>
      <w:r>
        <w:separator/>
      </w:r>
    </w:p>
  </w:footnote>
  <w:footnote w:type="continuationSeparator" w:id="0">
    <w:p w:rsidR="00F61D92" w:rsidRDefault="00F61D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F6A" w:rsidRDefault="00AA3495">
    <w:pPr>
      <w:pBdr>
        <w:top w:val="nil"/>
        <w:left w:val="nil"/>
        <w:bottom w:val="nil"/>
        <w:right w:val="nil"/>
        <w:between w:val="nil"/>
      </w:pBdr>
      <w:tabs>
        <w:tab w:val="center" w:pos="4680"/>
        <w:tab w:val="right" w:pos="9360"/>
        <w:tab w:val="right" w:pos="9026"/>
      </w:tabs>
      <w:spacing w:line="240" w:lineRule="auto"/>
      <w:rPr>
        <w:rFonts w:ascii="Calibri" w:eastAsia="Calibri" w:hAnsi="Calibri" w:cs="Calibri"/>
        <w:color w:val="000000"/>
      </w:rPr>
    </w:pPr>
    <w:r>
      <w:rPr>
        <w:color w:val="000000"/>
      </w:rPr>
      <w:t xml:space="preserve"> </w:t>
    </w:r>
    <w:r>
      <w:rPr>
        <w:color w:val="000000"/>
      </w:rPr>
      <w:tab/>
    </w:r>
    <w:r>
      <w:rPr>
        <w:noProof/>
        <w:lang w:val="en-US" w:eastAsia="ja-JP"/>
      </w:rPr>
      <w:drawing>
        <wp:anchor distT="0" distB="0" distL="114300" distR="114300" simplePos="0" relativeHeight="251658240" behindDoc="0" locked="0" layoutInCell="1" allowOverlap="1">
          <wp:simplePos x="0" y="0"/>
          <wp:positionH relativeFrom="column">
            <wp:posOffset>-498474</wp:posOffset>
          </wp:positionH>
          <wp:positionV relativeFrom="paragraph">
            <wp:posOffset>-328294</wp:posOffset>
          </wp:positionV>
          <wp:extent cx="1695450" cy="793750"/>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95450" cy="793750"/>
                  </a:xfrm>
                  <a:prstGeom prst="rect">
                    <a:avLst/>
                  </a:prstGeom>
                  <a:ln/>
                </pic:spPr>
              </pic:pic>
            </a:graphicData>
          </a:graphic>
        </wp:anchor>
      </w:drawing>
    </w:r>
    <w:r>
      <w:rPr>
        <w:noProof/>
        <w:lang w:val="en-US" w:eastAsia="ja-JP"/>
      </w:rPr>
      <w:drawing>
        <wp:anchor distT="0" distB="0" distL="114300" distR="114300" simplePos="0" relativeHeight="251659264" behindDoc="0" locked="0" layoutInCell="1" allowOverlap="1">
          <wp:simplePos x="0" y="0"/>
          <wp:positionH relativeFrom="column">
            <wp:posOffset>4834255</wp:posOffset>
          </wp:positionH>
          <wp:positionV relativeFrom="paragraph">
            <wp:posOffset>-330199</wp:posOffset>
          </wp:positionV>
          <wp:extent cx="878205" cy="621665"/>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8205" cy="621665"/>
                  </a:xfrm>
                  <a:prstGeom prst="rect">
                    <a:avLst/>
                  </a:prstGeom>
                  <a:ln/>
                </pic:spPr>
              </pic:pic>
            </a:graphicData>
          </a:graphic>
        </wp:anchor>
      </w:drawing>
    </w:r>
    <w:r>
      <w:rPr>
        <w:noProof/>
        <w:lang w:val="en-US" w:eastAsia="ja-JP"/>
      </w:rPr>
      <w:drawing>
        <wp:anchor distT="0" distB="0" distL="114300" distR="114300" simplePos="0" relativeHeight="251660288" behindDoc="0" locked="0" layoutInCell="1" allowOverlap="1">
          <wp:simplePos x="0" y="0"/>
          <wp:positionH relativeFrom="column">
            <wp:posOffset>1200150</wp:posOffset>
          </wp:positionH>
          <wp:positionV relativeFrom="paragraph">
            <wp:posOffset>-214628</wp:posOffset>
          </wp:positionV>
          <wp:extent cx="3511550" cy="679450"/>
          <wp:effectExtent l="0" t="0" r="0" b="0"/>
          <wp:wrapSquare wrapText="bothSides" distT="0" distB="0" distL="114300" distR="11430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511550" cy="679450"/>
                  </a:xfrm>
                  <a:prstGeom prst="rect">
                    <a:avLst/>
                  </a:prstGeom>
                  <a:ln/>
                </pic:spPr>
              </pic:pic>
            </a:graphicData>
          </a:graphic>
        </wp:anchor>
      </w:drawing>
    </w:r>
  </w:p>
  <w:p w:rsidR="00B40F6A" w:rsidRDefault="00AA3495">
    <w:pPr>
      <w:pBdr>
        <w:top w:val="nil"/>
        <w:left w:val="nil"/>
        <w:bottom w:val="nil"/>
        <w:right w:val="nil"/>
        <w:between w:val="nil"/>
      </w:pBdr>
      <w:tabs>
        <w:tab w:val="center" w:pos="4680"/>
        <w:tab w:val="right" w:pos="9360"/>
      </w:tabs>
      <w:spacing w:line="240" w:lineRule="auto"/>
      <w:rPr>
        <w:color w:val="000000"/>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4318000</wp:posOffset>
            </wp:positionH>
            <wp:positionV relativeFrom="paragraph">
              <wp:posOffset>63500</wp:posOffset>
            </wp:positionV>
            <wp:extent cx="1870710" cy="412750"/>
            <wp:effectExtent l="0" t="0" r="0" b="0"/>
            <wp:wrapNone/>
            <wp:docPr id="37" name="Rectangle 37"/>
            <wp:cNvGraphicFramePr/>
            <a:graphic xmlns:a="http://schemas.openxmlformats.org/drawingml/2006/main">
              <a:graphicData uri="http://schemas.microsoft.com/office/word/2010/wordprocessingShape">
                <wps:wsp>
                  <wps:cNvSpPr/>
                  <wps:spPr>
                    <a:xfrm>
                      <a:off x="4415408" y="3578388"/>
                      <a:ext cx="1861185" cy="403225"/>
                    </a:xfrm>
                    <a:prstGeom prst="rect">
                      <a:avLst/>
                    </a:prstGeom>
                    <a:noFill/>
                    <a:ln>
                      <a:noFill/>
                    </a:ln>
                  </wps:spPr>
                  <wps:txbx>
                    <w:txbxContent>
                      <w:p w:rsidR="00B40F6A" w:rsidRDefault="00AA3495">
                        <w:pPr>
                          <w:spacing w:line="275" w:lineRule="auto"/>
                          <w:jc w:val="center"/>
                          <w:textDirection w:val="btLr"/>
                        </w:pPr>
                        <w:r>
                          <w:rPr>
                            <w:color w:val="7F7F7F"/>
                            <w:sz w:val="18"/>
                          </w:rPr>
                          <w:t>Funded by the EU</w:t>
                        </w:r>
                      </w:p>
                    </w:txbxContent>
                  </wps:txbx>
                  <wps:bodyPr spcFirstLastPara="1" wrap="square" lIns="91425" tIns="45700" rIns="91425" bIns="45700" anchor="t" anchorCtr="0">
                    <a:noAutofit/>
                  </wps:bodyPr>
                </wps:wsp>
              </a:graphicData>
            </a:graphic>
          </wp:anchor>
        </w:drawing>
      </mc:Choice>
      <ve:Fallback>
        <w:r>
          <w:rPr>
            <w:noProof/>
            <w:lang w:val="en-US" w:eastAsia="ja-JP"/>
          </w:rPr>
          <w:drawing>
            <wp:anchor distT="0" distB="0" distL="114300" distR="114300" simplePos="0" relativeHeight="251661312" behindDoc="0" locked="0" layoutInCell="1" allowOverlap="1">
              <wp:simplePos x="0" y="0"/>
              <wp:positionH relativeFrom="column">
                <wp:posOffset>4318000</wp:posOffset>
              </wp:positionH>
              <wp:positionV relativeFrom="paragraph">
                <wp:posOffset>63500</wp:posOffset>
              </wp:positionV>
              <wp:extent cx="1870710" cy="412750"/>
              <wp:effectExtent l="0" t="0" r="0" b="0"/>
              <wp:wrapNone/>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1870710" cy="412750"/>
                      </a:xfrm>
                      <a:prstGeom prst="rect">
                        <a:avLst/>
                      </a:prstGeom>
                      <a:ln/>
                    </pic:spPr>
                  </pic:pic>
                </a:graphicData>
              </a:graphic>
            </wp:anchor>
          </w:drawing>
        </w:r>
      </ve:Fallback>
    </ve:AlternateContent>
  </w:p>
  <w:p w:rsidR="00B40F6A" w:rsidRDefault="00B40F6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5CF"/>
    <w:multiLevelType w:val="multilevel"/>
    <w:tmpl w:val="C75CD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9A3D85"/>
    <w:multiLevelType w:val="multilevel"/>
    <w:tmpl w:val="91B43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B01046"/>
    <w:multiLevelType w:val="multilevel"/>
    <w:tmpl w:val="0980E2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55AD11C4"/>
    <w:multiLevelType w:val="multilevel"/>
    <w:tmpl w:val="7918308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6F7439"/>
    <w:multiLevelType w:val="multilevel"/>
    <w:tmpl w:val="DE367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5AA7047A"/>
    <w:multiLevelType w:val="multilevel"/>
    <w:tmpl w:val="EEC2356C"/>
    <w:lvl w:ilvl="0">
      <w:start w:val="1"/>
      <w:numFmt w:val="upperRoman"/>
      <w:lvlText w:val="%1."/>
      <w:lvlJc w:val="left"/>
      <w:pPr>
        <w:ind w:left="1155" w:hanging="72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6">
    <w:nsid w:val="73D169F2"/>
    <w:multiLevelType w:val="multilevel"/>
    <w:tmpl w:val="6E10D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9DC2F8A"/>
    <w:multiLevelType w:val="multilevel"/>
    <w:tmpl w:val="1FDCAE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rsids>
    <w:rsidRoot w:val="00B40F6A"/>
    <w:rsid w:val="00050520"/>
    <w:rsid w:val="003A46DE"/>
    <w:rsid w:val="008D33CD"/>
    <w:rsid w:val="00AA3495"/>
    <w:rsid w:val="00B40F6A"/>
    <w:rsid w:val="00F61D92"/>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bs-Latn-B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46DE"/>
  </w:style>
  <w:style w:type="paragraph" w:styleId="Heading1">
    <w:name w:val="heading 1"/>
    <w:basedOn w:val="Normal"/>
    <w:next w:val="Normal"/>
    <w:rsid w:val="003A46DE"/>
    <w:pPr>
      <w:keepNext/>
      <w:keepLines/>
      <w:spacing w:before="480" w:after="120"/>
      <w:outlineLvl w:val="0"/>
    </w:pPr>
    <w:rPr>
      <w:b/>
      <w:sz w:val="48"/>
      <w:szCs w:val="48"/>
    </w:rPr>
  </w:style>
  <w:style w:type="paragraph" w:styleId="Heading2">
    <w:name w:val="heading 2"/>
    <w:basedOn w:val="Normal"/>
    <w:next w:val="Normal"/>
    <w:rsid w:val="003A46DE"/>
    <w:pPr>
      <w:keepNext/>
      <w:keepLines/>
      <w:spacing w:before="360" w:after="80"/>
      <w:outlineLvl w:val="1"/>
    </w:pPr>
    <w:rPr>
      <w:b/>
      <w:sz w:val="36"/>
      <w:szCs w:val="36"/>
    </w:rPr>
  </w:style>
  <w:style w:type="paragraph" w:styleId="Heading3">
    <w:name w:val="heading 3"/>
    <w:basedOn w:val="Normal"/>
    <w:next w:val="Normal"/>
    <w:rsid w:val="003A46DE"/>
    <w:pPr>
      <w:keepNext/>
      <w:keepLines/>
      <w:spacing w:before="280" w:after="80"/>
      <w:outlineLvl w:val="2"/>
    </w:pPr>
    <w:rPr>
      <w:b/>
      <w:sz w:val="28"/>
      <w:szCs w:val="28"/>
    </w:rPr>
  </w:style>
  <w:style w:type="paragraph" w:styleId="Heading4">
    <w:name w:val="heading 4"/>
    <w:basedOn w:val="Normal"/>
    <w:next w:val="Normal"/>
    <w:rsid w:val="003A46DE"/>
    <w:pPr>
      <w:keepNext/>
      <w:keepLines/>
      <w:spacing w:before="240" w:after="40"/>
      <w:outlineLvl w:val="3"/>
    </w:pPr>
    <w:rPr>
      <w:b/>
      <w:sz w:val="24"/>
      <w:szCs w:val="24"/>
    </w:rPr>
  </w:style>
  <w:style w:type="paragraph" w:styleId="Heading5">
    <w:name w:val="heading 5"/>
    <w:basedOn w:val="Normal"/>
    <w:next w:val="Normal"/>
    <w:rsid w:val="003A46DE"/>
    <w:pPr>
      <w:keepNext/>
      <w:keepLines/>
      <w:spacing w:before="220" w:after="40"/>
      <w:outlineLvl w:val="4"/>
    </w:pPr>
    <w:rPr>
      <w:b/>
    </w:rPr>
  </w:style>
  <w:style w:type="paragraph" w:styleId="Heading6">
    <w:name w:val="heading 6"/>
    <w:basedOn w:val="Normal"/>
    <w:next w:val="Normal"/>
    <w:rsid w:val="003A46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3A46DE"/>
    <w:tblPr>
      <w:tblCellMar>
        <w:top w:w="0" w:type="dxa"/>
        <w:left w:w="0" w:type="dxa"/>
        <w:bottom w:w="0" w:type="dxa"/>
        <w:right w:w="0" w:type="dxa"/>
      </w:tblCellMar>
    </w:tblPr>
  </w:style>
  <w:style w:type="paragraph" w:styleId="Title">
    <w:name w:val="Title"/>
    <w:basedOn w:val="Normal"/>
    <w:next w:val="Normal"/>
    <w:rsid w:val="003A46DE"/>
    <w:pPr>
      <w:keepNext/>
      <w:keepLines/>
      <w:spacing w:before="480" w:after="120"/>
    </w:pPr>
    <w:rPr>
      <w:b/>
      <w:sz w:val="72"/>
      <w:szCs w:val="72"/>
    </w:rPr>
  </w:style>
  <w:style w:type="character" w:styleId="Emphasis">
    <w:name w:val="Emphasis"/>
    <w:basedOn w:val="DefaultParagraphFont"/>
    <w:uiPriority w:val="20"/>
    <w:qFormat/>
    <w:rsid w:val="00627EA9"/>
    <w:rPr>
      <w:i/>
      <w:iCs/>
    </w:rPr>
  </w:style>
  <w:style w:type="character" w:styleId="Hyperlink">
    <w:name w:val="Hyperlink"/>
    <w:basedOn w:val="DefaultParagraphFont"/>
    <w:uiPriority w:val="99"/>
    <w:unhideWhenUsed/>
    <w:rsid w:val="00627EA9"/>
    <w:rPr>
      <w:color w:val="0000FF"/>
      <w:u w:val="single"/>
    </w:rPr>
  </w:style>
  <w:style w:type="paragraph" w:styleId="ListParagraph">
    <w:name w:val="List Paragraph"/>
    <w:basedOn w:val="Normal"/>
    <w:uiPriority w:val="34"/>
    <w:qFormat/>
    <w:rsid w:val="00ED0E50"/>
    <w:pPr>
      <w:ind w:left="720"/>
      <w:contextualSpacing/>
    </w:pPr>
  </w:style>
  <w:style w:type="table" w:styleId="TableGrid">
    <w:name w:val="Table Grid"/>
    <w:basedOn w:val="TableNormal"/>
    <w:uiPriority w:val="39"/>
    <w:rsid w:val="0051715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676F"/>
    <w:pPr>
      <w:tabs>
        <w:tab w:val="center" w:pos="4680"/>
        <w:tab w:val="right" w:pos="9360"/>
      </w:tabs>
      <w:spacing w:line="240" w:lineRule="auto"/>
    </w:pPr>
  </w:style>
  <w:style w:type="character" w:customStyle="1" w:styleId="HeaderChar">
    <w:name w:val="Header Char"/>
    <w:basedOn w:val="DefaultParagraphFont"/>
    <w:link w:val="Header"/>
    <w:uiPriority w:val="99"/>
    <w:rsid w:val="0020676F"/>
    <w:rPr>
      <w:rFonts w:ascii="Arial" w:eastAsia="Arial" w:hAnsi="Arial" w:cs="Arial"/>
      <w:lang w:eastAsia="bs-Latn-BA"/>
    </w:rPr>
  </w:style>
  <w:style w:type="paragraph" w:styleId="Footer">
    <w:name w:val="footer"/>
    <w:basedOn w:val="Normal"/>
    <w:link w:val="FooterChar"/>
    <w:uiPriority w:val="99"/>
    <w:unhideWhenUsed/>
    <w:rsid w:val="0020676F"/>
    <w:pPr>
      <w:tabs>
        <w:tab w:val="center" w:pos="4680"/>
        <w:tab w:val="right" w:pos="9360"/>
      </w:tabs>
      <w:spacing w:line="240" w:lineRule="auto"/>
    </w:pPr>
  </w:style>
  <w:style w:type="character" w:customStyle="1" w:styleId="FooterChar">
    <w:name w:val="Footer Char"/>
    <w:basedOn w:val="DefaultParagraphFont"/>
    <w:link w:val="Footer"/>
    <w:uiPriority w:val="99"/>
    <w:rsid w:val="0020676F"/>
    <w:rPr>
      <w:rFonts w:ascii="Arial" w:eastAsia="Arial" w:hAnsi="Arial" w:cs="Arial"/>
      <w:lang w:eastAsia="bs-Latn-BA"/>
    </w:rPr>
  </w:style>
  <w:style w:type="paragraph" w:styleId="NormalWeb">
    <w:name w:val="Normal (Web)"/>
    <w:basedOn w:val="Normal"/>
    <w:uiPriority w:val="99"/>
    <w:semiHidden/>
    <w:unhideWhenUsed/>
    <w:rsid w:val="0034367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343672"/>
  </w:style>
  <w:style w:type="character" w:styleId="CommentReference">
    <w:name w:val="annotation reference"/>
    <w:basedOn w:val="DefaultParagraphFont"/>
    <w:uiPriority w:val="99"/>
    <w:semiHidden/>
    <w:unhideWhenUsed/>
    <w:rsid w:val="00EC7085"/>
    <w:rPr>
      <w:sz w:val="16"/>
      <w:szCs w:val="16"/>
    </w:rPr>
  </w:style>
  <w:style w:type="paragraph" w:styleId="CommentText">
    <w:name w:val="annotation text"/>
    <w:basedOn w:val="Normal"/>
    <w:link w:val="CommentTextChar"/>
    <w:uiPriority w:val="99"/>
    <w:unhideWhenUsed/>
    <w:rsid w:val="00EC7085"/>
    <w:pPr>
      <w:spacing w:line="240" w:lineRule="auto"/>
    </w:pPr>
    <w:rPr>
      <w:sz w:val="20"/>
      <w:szCs w:val="20"/>
    </w:rPr>
  </w:style>
  <w:style w:type="character" w:customStyle="1" w:styleId="CommentTextChar">
    <w:name w:val="Comment Text Char"/>
    <w:basedOn w:val="DefaultParagraphFont"/>
    <w:link w:val="CommentText"/>
    <w:uiPriority w:val="99"/>
    <w:rsid w:val="00EC7085"/>
    <w:rPr>
      <w:rFonts w:ascii="Arial" w:eastAsia="Arial" w:hAnsi="Arial" w:cs="Arial"/>
      <w:sz w:val="20"/>
      <w:szCs w:val="20"/>
      <w:lang w:eastAsia="bs-Latn-BA"/>
    </w:rPr>
  </w:style>
  <w:style w:type="paragraph" w:styleId="CommentSubject">
    <w:name w:val="annotation subject"/>
    <w:basedOn w:val="CommentText"/>
    <w:next w:val="CommentText"/>
    <w:link w:val="CommentSubjectChar"/>
    <w:uiPriority w:val="99"/>
    <w:semiHidden/>
    <w:unhideWhenUsed/>
    <w:rsid w:val="00EC7085"/>
    <w:rPr>
      <w:b/>
      <w:bCs/>
    </w:rPr>
  </w:style>
  <w:style w:type="character" w:customStyle="1" w:styleId="CommentSubjectChar">
    <w:name w:val="Comment Subject Char"/>
    <w:basedOn w:val="CommentTextChar"/>
    <w:link w:val="CommentSubject"/>
    <w:uiPriority w:val="99"/>
    <w:semiHidden/>
    <w:rsid w:val="00EC7085"/>
    <w:rPr>
      <w:rFonts w:ascii="Arial" w:eastAsia="Arial" w:hAnsi="Arial" w:cs="Arial"/>
      <w:b/>
      <w:bCs/>
      <w:sz w:val="20"/>
      <w:szCs w:val="20"/>
      <w:lang w:eastAsia="bs-Latn-BA"/>
    </w:rPr>
  </w:style>
  <w:style w:type="paragraph" w:styleId="BalloonText">
    <w:name w:val="Balloon Text"/>
    <w:basedOn w:val="Normal"/>
    <w:link w:val="BalloonTextChar"/>
    <w:uiPriority w:val="99"/>
    <w:semiHidden/>
    <w:unhideWhenUsed/>
    <w:rsid w:val="00232D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40"/>
    <w:rPr>
      <w:rFonts w:ascii="Segoe UI" w:eastAsia="Arial" w:hAnsi="Segoe UI" w:cs="Segoe UI"/>
      <w:sz w:val="18"/>
      <w:szCs w:val="18"/>
      <w:lang w:eastAsia="bs-Latn-BA"/>
    </w:rPr>
  </w:style>
  <w:style w:type="character" w:customStyle="1" w:styleId="UnresolvedMention1">
    <w:name w:val="Unresolved Mention1"/>
    <w:basedOn w:val="DefaultParagraphFont"/>
    <w:uiPriority w:val="99"/>
    <w:semiHidden/>
    <w:unhideWhenUsed/>
    <w:rsid w:val="00C44D8A"/>
    <w:rPr>
      <w:color w:val="605E5C"/>
      <w:shd w:val="clear" w:color="auto" w:fill="E1DFDD"/>
    </w:rPr>
  </w:style>
  <w:style w:type="character" w:styleId="Strong">
    <w:name w:val="Strong"/>
    <w:basedOn w:val="DefaultParagraphFont"/>
    <w:uiPriority w:val="22"/>
    <w:qFormat/>
    <w:rsid w:val="00096B1F"/>
    <w:rPr>
      <w:b/>
      <w:bCs/>
    </w:rPr>
  </w:style>
  <w:style w:type="paragraph" w:styleId="Subtitle">
    <w:name w:val="Subtitle"/>
    <w:basedOn w:val="Normal"/>
    <w:next w:val="Normal"/>
    <w:rsid w:val="003A46DE"/>
    <w:pPr>
      <w:keepNext/>
      <w:keepLines/>
      <w:spacing w:before="360" w:after="80"/>
    </w:pPr>
    <w:rPr>
      <w:rFonts w:ascii="Georgia" w:eastAsia="Georgia" w:hAnsi="Georgia" w:cs="Georgia"/>
      <w:i/>
      <w:color w:val="666666"/>
      <w:sz w:val="48"/>
      <w:szCs w:val="48"/>
    </w:rPr>
  </w:style>
  <w:style w:type="table" w:customStyle="1" w:styleId="a">
    <w:basedOn w:val="TableNormal"/>
    <w:rsid w:val="003A46DE"/>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zaston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hWaUV2YTPQWibEfc3/JYPZt9g==">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Karabegovic</dc:creator>
  <cp:lastModifiedBy>PC</cp:lastModifiedBy>
  <cp:revision>3</cp:revision>
  <dcterms:created xsi:type="dcterms:W3CDTF">2025-07-11T22:26:00Z</dcterms:created>
  <dcterms:modified xsi:type="dcterms:W3CDTF">2025-07-11T22:35:00Z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2cba5a09e4d2fab285a6066890a23e94230d3e7fe17dc57fb41528d60f113d39</vt:lpwstr>
  </property>
</Properties>
</file>